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LEI 10.661 DE 22-04-2003</w:t>
      </w:r>
    </w:p>
    <w:p/>
    <w:p/>
    <w:p>
      <w:r>
        <w:t xml:space="preserve">02. ALTERA — LEIS 9.636/98, 8.666/93, 11.124/2005, 9.514/97 E LEI 6.015/73 - DECRETOS-LEIS 9.760/1946, 271/67, 1.876/81 E 2.398/87 - ALTERA</w:t>
      </w:r>
    </w:p>
    <w:p/>
    <w:p>
      <w:pPr>
        <w:pStyle w:val="Heading2"/>
      </w:pPr>
      <w:r>
        <w:rPr>
          <w:b/>
          <w:bCs/>
        </w:rPr>
        <w:t xml:space="preserve">Ementa</w:t>
      </w:r>
    </w:p>
    <w:p>
      <w:r>
        <w:t xml:space="preserve">Art. 7º O art. 7º do Decreto-Lei nº 271, de 28 de fevereiro de 1967, passa a vigorar com a seguinte redação: "Art. 7º É instituída a concessão de uso de terrenos públicos ou particulares remunerada ou gratuita, por tempo certo ou indeterminado, como direito real resolúvel, para fins específicos de regularização fundiária de interesse social, urbanização, industrialização, edificação, cultivo da terra, aproveitamento sustentável das várzeas, preservação das comunidades tradicionais e seus meios de subsistência ou outras modalidades de interesse social em áreas urbanas. ................................. § 5º Para efeito de aplicação do disposto no caput deste artigo, deverá ser observada a anuência prévia: I - do Ministério da Defesa e dos Comandos da Marinha, do Exército ou da Aeronáutica, quando se tratar de imóveis que estejam sob sua administração; e II - do Gabinete de Segurança Institucional da Presidência de República, observados os termos do inciso III do § 1º do art. 91 da Constituição Federal." (NR) Art. 8º Os arts. 1º e 2º do Decreto-Lei nº 1.876, de 15 de julho de 1981, passam a vigorar com a seguinte redação: "Art. 1º Ficam isentas do pagamento de foros, taxas de ocupação e laudêmios, referentes a imóveis de propriedade da União, as pessoas consideradas carentes ou de baixa renda cuja situação econômica não lhes permita pagar esses encargos sem prejuízo do sustento próprio ou de sua família. § 1º A situação de carência ou baixa renda será comprovada a cada 4 (quatro) anos, na forma disciplinada pelo órgão competente, devendo ser suspensa a isenção sempre que verificada a alteração da situação econômica do ocupante ou foreiro. § 2º Considera-se carente ou de baixa renda para fins da isenção disposta neste artigo o responsável por imóvel cuja renda familiar mensal for igual ou inferior ao valor correspondente a 5 (cinco) salários mínimos. § 3º A União poderá delegar aos Estados, Distrito Federal ou Municípios a com provação da situação de carência de que trata o § 2º deste artigo, por meio de convênio. § 4º A isenção de que trata este artigo aplica-se desde o início da efetiva ocupação do imóvel e alcança os débitos constituídos e não pagos, inclusive os inscritos em dívida ativa, e os não constituídos até 27 de abril de 2006, bem como multas, juros de mora e atualização monetária." (NR) "Art. 2º.................... I - ............................ ................................ b) as empresas públicas, as sociedades de economia mista e os fundos públicos, nas transferências destinadas à realização de programas habitacionais ou de regularização fundiária de interesse social; c) as autarquias e fundações federais; .................................. Parágrafo único. A isenção de que trata este artigo abrange também os foros e as taxas de ocupação enquanto os imóveis permanecerem no patrimônio das referidas entidades, assim como os débitos relativos a foros, taxas de ocupação e laudêmios constituídos e não pagos até 27 de abril de 2006 pelas autarquias e fundações federais." (NR) Art. 9º O Decreto-Lei nº 2.398, de 21 de dezembro de 1987, passa a vigorar acrescido do seguinte art. 3º-A: "Art. 3º-A Os cartórios deverão informar as operações imobiliárias anotadas, averbadas, lavradas, matriculadas ou registradas nos Cartórios de Notas ou de Registro de Imóveis, Títulos e Documentos que envolvam terrenos da União sob sua responsabilidade, mediante a apresentação de Declaração sobre Operações Imobiliárias em Terrenos da União - DOITU em meio magnético, nos termos estabelecidos pela Secretaria do Patrimônio da União. § 1º A cada operação imobiliária corresponderá uma DOITU, que deverá ser apresentada até o último dia útil do mês subseqüente ao da anotação, averbação, lavratura, matrícula ou registro da respectiva operação, sujeitando-se o responsável, no caso de falta de apresentação ou apresentação da declaração após o prazo fixado, à multa de 0,1 % (zero vírgula um por cento) ao mês-calendário ou fração, sobre o valor da operação, limitada a 1% (um por cento), observado o disposto no inciso III do § 2º deste artigo. § 2º A multa de que trata o § 1º deste artigo: I - terá como termo inicial o dia seguinte ao término do prazo originalmente fixado para a entrega da declaração e como termo final a data da efetiva entrega ou, no caso de não-apresentação, da lavratura do auto de infração; II - será reduzida: a) à metade, caso a declaração seja apresentada antes de qualquer procedimento de ofício; b) a 75% (setenta e ci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2026-06-17T14:20:42.283Z</dcterms:created>
  <dcterms:modified xsi:type="dcterms:W3CDTF">2026-06-17T14:20:42.283Z</dcterms:modified>
</cp:coreProperties>
</file>

<file path=docProps/custom.xml><?xml version="1.0" encoding="utf-8"?>
<Properties xmlns="http://schemas.openxmlformats.org/officeDocument/2006/custom-properties" xmlns:vt="http://schemas.openxmlformats.org/officeDocument/2006/docPropsVTypes"/>
</file>