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LEI 10.188 DE 12-02-2001</w:t>
      </w:r>
    </w:p>
    <w:p/>
    <w:p/>
    <w:p>
      <w:r>
        <w:t xml:space="preserve">02. BENS IMÓVEIS — REGULARIZAÇÃO - ADMINISTRAÇÃO - AFORAMENTO E ALIENAÇÃO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20. Não será considerada utilização em fim diferente do previsto no termo de entrega, a que se refere o § 2º do art. 79 do Decreto-Lei nº 9.760, de 1946, a cessão de uso a terceiros, a título gratuito ou oneroso, de áreas para exercício de atividade de apoio, definidas em regulamento, necessárias ao desempenho da atividade do órgão a que o imóvel foi entregue. Parágrafo único. A cessão de que trata este artigo será formalizada pelo chefe da repartição, estabelecimento ou serviço público federal a que tenha sido entregue o imóvel, desde que aprovada sua realização pelo Secretário-Geral da Presidência da República, respectivos Ministros de Estado ou autoridades com competência equivalente nos Poderes Legislativo ou Judiciário, conforme for o caso, e tenham sido observadas as condições previstas no regulamento e os procedimentos licitatórios previstos em lei. Art. 21. Quando o projeto envolver investimentos cujo retorno, justificadamente, não possa ocorrer dentro do prazo máximo de 20 (vinte) anos, a cessão sob o regime de arrendamento poderá ser realizada por prazo superior, observando-se, nesse caso, como prazo de vigência, o tempo seguramente necessário à viabilização econômico-financeira do empreendimento, não ultrapassando o período da possível renovação. (Redação dada pela Lei nº 11.314 de 2006) SEÇÃO VII Da Permissão de Uso Art. 22. A utilização, a título precário, de áreas de domínio da União para a realização de eventos de curta duração, de natureza recreativa, esportiva, cultural, religiosa ou educacional, poderá ser autorizada, na forma do regulamento, sob o regime de permissão de uso, em ato do Secretário do Patrimônio da União, publicado no Diário Oficial da União. § 1º A competência para autorizar a permissão de uso de que trata este artigo poderá ser delegada aos titulares das Delegacias do Patrimônio da União nos Estados. § 2º Em áreas específicas, devidam ente identificadas, a competência para autorizar a permissão de uso poderá ser repassada aos Estados e Municípios, devendo, para tal fim, as áreas envolvidas lhes serem cedidas sob o regime de cessão de uso, na forma do art. 18. Seção VIII (Incluído pela Lei nº 11.481, de 2007) Da Concessão de Uso Especial para Fins de Moradia Art. 22-A. A concessão de uso especial para fins de moradia aplica-se às áreas de propriedade da União, inclusive aos terrenos de marinha e acrescidos, e será conferida aos possuidores ou ocupantes que preencham os requisitos legais estabelecidos na Medida Provisória nº 2.220, de 4 de setembro de 2001. (Incluído pela Lei nº 11.481, de 2007) § 1º O direito de que trata o caput deste artigo não se aplica a imóveis funcionais. (Incluído pela Lei nº 11.481, de 2007) § 2º Os imóveis sob administração do Ministério da Defesa ou dos Comandos da Marinha, do Exército e da Aeronáutica são considerados de interesse da defesa nacional para efeito do disposto no inciso III do caput do art. 5º da Medida Provisória nº 2.220, de 4 de setembro de 2001, sem prejuízo do estabelecido no § 1º deste artigo. (Incluído pela Lei nº 11.481, de 2007) CAPÍTULO II DA ALIENAÇÃO Art. 23. A alienação de bens imóveis da União dependerá de autorização, mediante ato do Presidente da República, e será sempre precedida de parecer da SPU quanto à sua oportunidade e conveniência. § 1º A alienação ocorrerá quando não houver interesse público, econômico ou social em manter o imóvel no domínio da União, nem inconveniência quanto à preservação ambiental e à defesa nacional, no desaparecimento do vínculo de propriedade. § 2º A competência para autorizar a alienação poderá ser delegada ao Ministro de Estado da Fazenda, permitida a subdelegação. SEÇÃO I Da Venda Art. 24. A venda de bens imóveis da União será feita mediante concorrência ou leilão público, observadas as seguintes condições: I - na venda por leilão público, a publicação do edital observará as mesmas disposições legais aplicáveis à concorrência pública; II - os licitantes apresentarão propostas ou lances distintos para cada imóvel; III - a caução de participação, quando realizada licitação na modalidade de concorrência, corresponderá a 10% (dez por cento) do valor de avaliação; IV - no caso de leilão público, o arrematante pagará, no ato do pregão, sinal correspondente a, no mínimo, 10% (dez por cento) do valor da arrematação, complementando o preço no prazo e nas condições previstas no edital, sob pena de perder, em favor da União, o valor correspondente ao sinal e, em favor do leiloeiro, se for o caso,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2026-10-26T04:18:21.834Z</dcterms:created>
  <dcterms:modified xsi:type="dcterms:W3CDTF">2026-10-26T04:18:21.834Z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