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LEI COMPLEMENTAR 101 DE 04-05-00</w:t>
      </w:r>
    </w:p>
    <w:p/>
    <w:p/>
    <w:p>
      <w:r>
        <w:t xml:space="preserve">05. NORMAS PARA LICITAÇÕES E CONTRATOS DA ADMINISTRAÇÃO PÚBLICA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50. A Administração não poderá celebrar o contrato com preterição da ordem de classificação das propostas ou com terceiros estranhos ao procedimento licitatório, sob pena de nulidade. Art. 51. A habilitação preliminar, a inscrição em registro cadastral, a sua alteração ou cancelamento, e as propostas serão processadas e julgadas por comissão permanente ou especial de, no mínimo, 3 (três) membros, sendo pelo menos 2 (dois) deles servidores qualificados pertencentes aos quadros permanentes dos órgãos da Administração responsáveis pela licitação. § 1º No caso de convite, a Comissão de licitação, excepcionalmente, nas pequenas unidades administrativas e em face da exigüidade de pessoal disponível, poderá ser substituída por servidor formalmente designado pela autoridade competente. § 2º A Comissão para julgamento dos pedidos de inscrição em registro cadastral, sua alteração ou cancelamento, será integrada por profissionais legalmente habilitados no caso de obras, serviços ou aquisição de equipamentos. § 3º Os membros das Comissões de licitação responderão solidariamente por todos os atos praticados pela Comissão, salvo se posição individual divergente estiver devidamente fundamentada e registrada em ata lavrada na reunião em que tiver sido tomada a decisão. § 4º A investidura dos membros das Comissões permanentes não excederá a 1 (um) ano, vedada a recondução da totalidade de seus membros para a mesma comissão no período subseqüente. § 5º No caso de concurso, o julgamento será feito por uma comissão especial integrada por pessoas de reputação ilibada e reconhecido conhecimento da matéria em exame, servidores públicos ou não. Art. 52. O concurso a que se refere o § 4º do art. 22 desta Lei deve ser precedido de regulamento próprio, a ser obtido pelos interessados no local indicado no edital. § 1º O regulamento deverá indicar: I - a qualificação exigida dos participantes; II - as diretrizes e a forma de apresentação do trabalho; III - as condições de realização do concurso e os prêmios a serem concedidos. § 2º Em se tratando de projeto, o vencedor deverá autorizar a Administração a executá-lo quando julgar conveniente. Art. 53. O leilão pode ser cometido a leiloeiro oficial ou a servidor designado pela Administração, procedendo-se na forma da legislação pertinente. § 1º Todo bem a ser leiloado será previamente avaliado pela Administração para fixação do preço mínimo de arrematação. § 2º Os bens arrematados serão pagos à vista ou no percentual estabelecido no edital, não inferior a 5% (cinco por cento) e, após a assinatura da respectiva ata lavrada no local do leilão, imediatamente entregues ao arrematante, o qual se obrigará ao pagamento do restante no prazo estipulado no edital de convocação, sob pena de perder em favor da Administração o valor já recolhido. § 3º Nos leilões internacionais, o pagamento da parcela à vista poderá ser feito em até vinte e quatro horas. (Redação dada pela Lei nº 8.883, de 1994) § 4º O edital de leilão deve ser amplamente divulgado, principalmente no município em que se realizará. (Incluído pela Lei nº 8.883, de 1994) CAPÍTULO III DOS CONTRATOS Seção I Disposições Preliminares Art. 54. Os contratos administrativos de que trata esta Lei regulam-se pelas suas cláusulas e pelos preceitos de direito público, aplicando-se-lhes, supletivamente, os princípios da teoria geral dos contratos e as disposições de direito privado. § 1º Os contratos devem estabelecer com clareza e precisão as condições para sua execução, expressas em cláusulas que definam os direitos, obrigações e responsabilidades das partes, em conformidade com os termos da licitação e da proposta a que se vinculam. § 2º Os contratos decorrentes de dispensa ou de inexigibilidade de licita ção devem atender aos termos do ato que os autorizou e da respectiva proposta. Art. 55. São cláusulas necessárias em todo contrato as que estabeleçam: I - o objeto e seus elementos característicos; II - o regime de execução ou a forma de fornecimento; III - o preço e as condições de pagamento, os critérios, data-base e periodicidade do reajustamento de preços, os critérios de atualização monetária entre a data do adimplemento das obrigações e a do efetivo pagamento; IV - os prazos de início de etapas de execução, de conclusão, de entrega, de observação e de recebimento definitivo, conforme o caso; V - o crédito pelo qual correrá a despesa, com a indicação da classificação funcional programática e da categoria econômica; VI - as garantias oferecidas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2026-10-26T04:59:57.851Z</dcterms:created>
  <dcterms:modified xsi:type="dcterms:W3CDTF">2026-10-26T04:59:57.851Z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