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ADMINISTRATIVO</w:t>
      </w:r>
    </w:p>
    <w:p>
      <w:r>
        <w:rPr>
          <w:i/>
          <w:iCs/>
          <w:color w:val="666666"/>
        </w:rPr>
        <w:t xml:space="preserve">REGISTRO PELO TRIBUNAL DE CONTAS</w:t>
      </w:r>
    </w:p>
    <w:p/>
    <w:p/>
    <w:p>
      <w:r>
        <w:t xml:space="preserve">06. NORMAS PARA LICITAÇÕES E CONTRATOS DA ADMINISTRAÇÃO PÚBLICA — INSTITUI</w:t>
      </w:r>
    </w:p>
    <w:p/>
    <w:p>
      <w:pPr>
        <w:pStyle w:val="Heading2"/>
      </w:pPr>
      <w:r>
        <w:rPr>
          <w:b/>
          <w:bCs/>
        </w:rPr>
        <w:t xml:space="preserve">Ementa</w:t>
      </w:r>
    </w:p>
    <w:p>
      <w:r>
        <w:t xml:space="preserve">Seção V Da Inexecução e da Rescisão dos Contratos Art. 77. A inexecução total ou parcial do contrato enseja a sua rescisão, com as conseqüências contratuais e as previstas em lei ou regulamento. Art. 78. Constituem motivo para rescisão do contrato: I - o não cumprimento de cláusulas contratuais, especificações, projetos ou prazos; II - o cumprimento irregular de cláusulas contratuais, especificações, projetos e prazos; III - a lentidão do seu cumprimento, levando a Administração a comprovar a impossibilidade da conclusão da obra, do serviço ou do fornecimento, nos prazos estipulados; IV - o atraso injustificado no início da obra, serviço ou fornecimento; V - a paralisação da obra, do serviço ou do fornecimento, sem justa causa e prévia comunicação à Administração; VI - a subcontratação total ou parcial do seu objeto, a associação do contratado com outrem, a cessão ou transferência, total ou parcial, bem como a fusão, cisão ou incorporação, não admitidas no edital e no contrato; VII - o desatendimento das determinações regulares da autoridade designada para acompanhar e fiscalizar a sua execução, assim como as de seus superiores; VIII - o cometimento reiterado de faltas na sua execução, anotadas na forma do § 1º do art. 67 desta Lei; IX - a decretação de falência ou a instauração de insolvência civil; X - a dissolução da sociedade ou o falecimento do contratado; XI - a alteração social ou a modificação da finalidade ou da estrutura da empresa, que prejudique a execução do contrato; XII - razões de interesse público, de alta relevância e amplo conhecimento, justificadas e determinadas pela máxima autoridade da esfera administrativa a que está subordinado o contratante e exaradas no processo administrativo a que se refere o contrato; XIII - a supressão, por parte da Administração, de obras, serviços ou compras, acarretando modificação do valor inicial do contrato além do limite pe rmitido no § 1º do art. 65 desta Lei; XIV - a suspensão de sua execução, por ordem escrita da Administração, por prazo superior a 120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 XV - o atraso superior a 90 (noventa) dias dos pagamentos devidos pela Administração decorrentes de obras, serviços ou fornecimento, ou parcelas destes, já recebidos ou executados, salvo em caso de calamidade pública, grave perturbação da ordem interna ou guerra, assegurado ao contratado o direito de optar pela suspensão do cumprimento de suas obrigações até que seja normalizada a situação; XVI - a não liberação, por parte da Administração, de área, local ou objeto para execução de obra, serviço ou fornecimento, nos prazos contratuais, bem como das fontes de materiais naturais especificadas no projeto; XVII - a ocorrência de caso fortuito ou de força maior, regularmente comprovada, impeditiva da execução do contrato. Parágrafo único. Os casos de rescisão contratual serão formalmente motivados nos autos do processo, assegurado o contraditório e a ampla defesa. XVIII - descumprimento do disposto no inciso V do art. 27, sem prejuízo das sanções penais cabíveis. (Incluído pela Lei nº 9.854, de 1999) Art. 79. A rescisão do contrato poderá ser: I - determinada por ato unilateral e escrito da Administração, nos casos enumerados nos incisos I a XII e XVII do artigo anterior; II - amigável, por acordo entre as partes, reduzida a termo no processo da licitação, desde que haja conveniência para a Administração; III - judi cial, nos termos da legislação; IV - (Vetado). (Redação dada pela Lei nº 8.883, de 1994) § 1º A rescisão administrativa ou amigável deverá ser precedida de autorização escrita e fundamentada da autoridade competente. § 2º Quando a rescisão ocorrer com base nos incisos XII a XVII do artigo anterior, sem que haja culpa do contratado, será este ressarcido dos prejuízos regularmente comprovados que houver sofrido, tendo ainda direito a: I - devolução de garantia; II - pagamentos devidos pela execução do contrato até a data da rescisão; III - pagamento do custo da desmobilização. § 3º (Vetado). (Redação dada pela Lei nº 8.883, de 1994) § 4º (V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2026-07-28T00:30:52.374Z</dcterms:created>
  <dcterms:modified xsi:type="dcterms:W3CDTF">2026-07-28T00:30:52.374Z</dcterms:modified>
</cp:coreProperties>
</file>

<file path=docProps/custom.xml><?xml version="1.0" encoding="utf-8"?>
<Properties xmlns="http://schemas.openxmlformats.org/officeDocument/2006/custom-properties" xmlns:vt="http://schemas.openxmlformats.org/officeDocument/2006/docPropsVTypes"/>
</file>