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p>
      <w:r>
        <w:t xml:space="preserve">07. NORMAS PARA LICITAÇÕES E CONTRATOS DA ADMINISTRAÇÃO PÚBLICA — INSTITUI</w:t>
      </w:r>
    </w:p>
    <w:p/>
    <w:p>
      <w:pPr>
        <w:pStyle w:val="Heading2"/>
      </w:pPr>
      <w:r>
        <w:rPr>
          <w:b/>
          <w:bCs/>
        </w:rPr>
        <w:t xml:space="preserve">Ementa</w:t>
      </w:r>
    </w:p>
    <w:p>
      <w:r>
        <w:t xml:space="preserve">CAPÍTULO VI DISPOSIÇÕES FINAIS E TRANSITÓRIAS Art. 110. Na contagem dos prazos estabelecidos nesta Lei, excluir-se-á o dia do início e incluir-se-á o do vencimento, e considerar-se-ão os dias consecutivos, exceto quando for explicitamente disposto em contrário. Parágrafo único. Só se iniciam e vencem os prazos referidos neste artigo em dia de expediente no órgão ou na entidade. Art. 111. A Administração só poderá contratar, pagar, premiar ou receber projeto ou serviço técnico especializado desde que o autor ceda os direitos patrimoniais a ele relativos e a Administração possa utilizá-lo de acordo com o previsto no regulamento de concurso ou no ajuste para sua elaboração. Parágrafo único. Quando o projeto referir-se a obra imaterial de caráter tecnológico, insuscetível de privilégio, a cessão dos direitos incluirá o fornecimento de todos os dados, documentos e elementos de informação pertinentes à tecnologia de concepção, desenvolvimento, fixação em suporte físico de qualquer natureza e aplicação da obra. Art. 112. Quando o objeto do contrato interessar a mais de uma entidade pública, caberá ao órgão contratante, perante a entidade interessada, responder pela sua boa execução, fiscalização e pagamento. § 1º Os consórcios públicos poderão realizar licitação da qual, nos termos do edital, decorram contratos administrativos celebrados por órgãos ou entidades dos entes da Federação consorciados. (Incluído pela Lei nº 11.107, de 2005) § 2º É facultado à entidade interessada o acompanhamento da licitação e da execução do contrato. (Incluído pela Lei nº 11.107, de 2005) Art. 113. O controle das despesas decorrentes dos contratos e demais instrumentos regidos por esta Lei será feito pelo Tribunal de Contas competente, na forma da legislação pertinente, ficando os órgãos interessados da Administração responsáveis pela demonstração da legalidade e regularida de da despesa e execução, nos termos da Constituição e sem prejuízo do sistema de controle interno nela previsto. § 1º Qualquer licitante, contratado ou pessoa física ou jurídica poderá representar ao Tribunal de Contas ou aos órgãos integrantes do sistema de controle interno contra irregularidades na aplicação desta Lei, para os fins do disposto neste artigo. § 2º Os Tribunais de Contas e os órgãos integrantes do sistema de controle interno poderão solicitar para exame, até o dia útil imediatamente anterior à data de recebimento das propostas, cópia de edital de licitação já publicado, obrigando-se os órgãos ou entidades da Administração interessada à adoção de medidas corretivas pertinentes que, em função desse exame, lhes forem determinadas. (Redação dada pela Lei nº 8.883, de 1994) Art. 114. O sistema instituído nesta Lei não impede a pré-qualificação de licitantes nas concorrências, a ser procedida sempre que o objeto da licitação recomende análise mais detida da qualificação técnica dos interessados. § 1º A adoção do procedimento de pré-qualificação será feita mediante proposta da autoridade competente, aprovada pela imediatamente superior. § 2º Na pré-qualificação serão observadas as exigências desta Lei relativas à concorrência, à convocação dos interessados, ao procedimento e à analise da documentação. Art. 115. Os órgãos da Administração poderão expedir normas relativas aos procedimentos operacionais a serem observados na execução das licitações, no âmbito de sua competência, observadas as disposições desta Lei. Parágrafo único. As normas a que se refere este artigo, após aprovação da autoridade competente, deverão ser publicadas na imprensa oficial. Art. 116. Aplicam-se as disposições desta Lei, no que couber, aos convênios, acordos, ajustes e outros instrumentos congêneres celebrados por órgãos e entidades da Administração. § 1º A celebração de convênio, acordo ou ajuste pelos órgãos ou entidades da Administração Pública depende de prévia aprovação de competente plano de trabalho proposto pela organização interessada, o qual deverá conter, no mínimo, as seguintes informações: I - identificação do objeto a ser executado; II - metas a serem atingidas; III - etapas ou fases de execução; IV - plano de aplicação dos recursos financeiros; V - cronograma de desembolso; VI - previsão de início e fim da execução do objeto, bem assim da conclusão das etapas ou fases programadas; VII - se o ajuste compreender obra ou serviço de engenharia, comprovação de que os recursos próprios para complementar a execução do objeto estão devidamente assegurados, salvo se o custo total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2026-07-28T00:45:16.652Z</dcterms:created>
  <dcterms:modified xsi:type="dcterms:W3CDTF">2026-07-28T00:45:16.652Z</dcterms:modified>
</cp:coreProperties>
</file>

<file path=docProps/custom.xml><?xml version="1.0" encoding="utf-8"?>
<Properties xmlns="http://schemas.openxmlformats.org/officeDocument/2006/custom-properties" xmlns:vt="http://schemas.openxmlformats.org/officeDocument/2006/docPropsVTypes"/>
</file>