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JUSTIÇA DESPORTIVA</w:t>
      </w:r>
    </w:p>
    <w:p>
      <w:r>
        <w:rPr>
          <w:i/>
          <w:iCs/>
          <w:color w:val="666666"/>
        </w:rPr>
        <w:t xml:space="preserve">INSTÂNCIA ADMINISTRATIVA</w:t>
      </w:r>
    </w:p>
    <w:p/>
    <w:p/>
    <w:p>
      <w:r>
        <w:t xml:space="preserve">02. BENS IMÓVEIS — DISPÕE SOBRE</w:t>
      </w:r>
    </w:p>
    <w:p/>
    <w:p>
      <w:pPr>
        <w:pStyle w:val="Heading2"/>
      </w:pPr>
      <w:r>
        <w:rPr>
          <w:b/>
          <w:bCs/>
        </w:rPr>
        <w:t xml:space="preserve">Ementa</w:t>
      </w:r>
    </w:p>
    <w:p>
      <w:r>
        <w:t xml:space="preserve">SUBSECÃO III Da Discriminação Judicial Art. 32. Contra queles que discordarem em qualquer têrmo da instância administrativa ou por qualquer motivo não entrarem em composição amigável, abrirá a União, por seu representante em Juízo, a instância judicial contenciosa. Art. 33. Correrá o processo judiciário de discriminação perante o Juizo competente, de acôrdo com a organização judiciária. Art. 34. Na petição inicial, a União requererá a citação dos proprietários, possuidores, confinantes e em geral de todos os interessados, para acompanharem o processo de discriminação até o final, exibindo seus títulos de propriedade ou prestando minuciosas informações sôbre suas posses ou ocupações, ainda que sem títulos documentários. Parágrafo único. A petição será instruída com o relatório a que alude o artigo 22. Art. 35. A citação inicial compreenderá todos os atos do processo discriminatório sendo de rigor a citação da mulher casada e do Ministério Público, quando houver menor interessado. Art. 36. A forma e os prazos de citação obedecerão ao que dispõe o Código do Processo Civil. Art. 37. Entregue em cartório o mandato de citação pessoal devidamente cumprido e findo o prazo da citação edital, terão os interessados o prazo comum de 30 (trinta) dias para as providências ao artigo seguinte. Art. 38. Com os títulos, documentos e informações, deverão os interessados oferecer esclarecimentos por escrito, tão minuciosos quanto possível, especialmente acêrca da origem e seqüência de seus títulos, posses e ocupação. Art. 39. Organizados os autos, têlos-á com vista por 60 (sessenta) dias o representante da União em Juízo para manifestar-se em memorial minucioso sôbre os documentos, informações e pretensões dos interessados, bem como sôbre o direito da União às terras que não forem do domínio particular, nos têrmos do artigo 5º dêste Decreto-lei. Parág rafo único. O Juiz poderá prorrogar, mediante requerimento, o prazo de que trata êste artigo no máximo por mais 60 (sessenta) dias. Art. 40. No memorial, depois de requerer a exclusão das áreas que houver reconhecido como do domínio particular, na forma do artigo antecedente, pedirá, a Procuradoria da República a discriminação das remanescentes como de domínio da União, indicando todos os elementos indispensáveis para esclarecimento da causa e, especialmente, os característicos das áreas que devam ser declaradas do mesmo domínio. Art. 41. No memorial pedir-se-á a produção das provas juntamente com as perícias necessárias à demonstração do alegado pela União. Art. 42. Devolvidos os autos a cartório, dar-se-á por edital, com prazo de 30 (trinta) dias, conhecimento das conclusões do memorial aos interessados, para que possam, querendo, concordar com as conclusões da Fazenda Nacional, e requerer a regularização de sua posses ou sanar quaisquer omissões que hajam cometido na defesa de seus direitos. Êste edital será publicado 1 (uma) vez no Diário Oficial da União, do Estado, ou do Território, consoante seja o caso, ou na fôlha que lhe publicar o expediente, bem como na imprensa local, onde houver. Art. 43. Conclusos os autos, o Juiz tomando conhecimento do memorial da União excluirá as áreas por esta reconhecidas como do domínio particular e quanto ao pedido de discriminação das áreas restantes, nomeará para as operações discriminatórias o engenheiro ou agrimensor, 2 (dois) peritos da confiança dêle Juiz e os suplentes daquele e dêstes. § 1º O engenheiro ou agrimensor e seu suplente, serão propostos pelo S.P.U. dentre os servidores de que dispuser, ficando-lhe facultado o contratar auxiliares para os serviços de campo. § 2º Poderão as partes, por maioria de votos, indicar, ao Juiz, assistente técnico de sua confiança ao engenheiro ou agrimensor. Art. 44. Em seguida, terão a s partes o prazo comum de 20 (vinte) dias para contestação, a contar da publicação do despacho a que se refere o artigo precedente, e que se fará no Diário Oficial da União, do Estado ou do Território, consoante seja o caso, ou na fôlha que lhe editar o expediente, bem como na imprensa local, se houver. Art. 45. Se nenhum interessado contestar o pedido, o Juiz julgará de plano procedente a ação. Parágrafo único. Havendo contestação, a causa tomará o curso ordinário e o Juiz proferirá o despacho saneador. Art. 46. No despacho saneador procederá o Juiz na forma do art. 294 do Código do Processo Civil. Art. 47. Se não houver sido requerida prova alguma ou findo o prazo para sua produção, mandará o Juiz que se proceda à audiênc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2026-06-17T14:07:41.960Z</dcterms:created>
  <dcterms:modified xsi:type="dcterms:W3CDTF">2026-06-17T14:07:41.960Z</dcterms:modified>
</cp:coreProperties>
</file>

<file path=docProps/custom.xml><?xml version="1.0" encoding="utf-8"?>
<Properties xmlns="http://schemas.openxmlformats.org/officeDocument/2006/custom-properties" xmlns:vt="http://schemas.openxmlformats.org/officeDocument/2006/docPropsVTypes"/>
</file>