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TRANSFERÊNCIA DE FINANCIAMENTO</w:t>
      </w:r>
    </w:p>
    <w:p/>
    <w:p/>
    <w:p>
      <w:r>
        <w:t xml:space="preserve">01. SISTEMA DE FINANCIAMENTO IMOBILIÁRIO — ALIENAÇÃO FIDUCIÁRIA DE COISA IMÓVEL - INSTITUI</w:t>
      </w:r>
    </w:p>
    <w:p/>
    <w:p>
      <w:pPr>
        <w:pStyle w:val="Heading2"/>
      </w:pPr>
      <w:r>
        <w:rPr>
          <w:b/>
          <w:bCs/>
        </w:rPr>
        <w:t xml:space="preserve">Ementa</w:t>
      </w:r>
    </w:p>
    <w:p>
      <w:r>
        <w:t xml:space="preserve">LEI Nº 9.514, DE 20 DE NOVEMBRO DE 1997 Dispõe sobre o Sistema de Financiamento Imobiliário, institui a alienação fiduciária de coisa imóvel e dá outras providências. O PRESIDENTE DA REPÚBLICA Faço saber que o Congresso Nacional decreta e eu sanciono a seguinte Lei: CAPÍTULO I Do Sistema de Financiamento Imobiliário Seção I Da finalidade Art. 1º O Sistema de Financiamento Imobiliário - SFI tem por finalidade promover o financiamento imobiliário em geral, segundo condições compatíveis com as da formação dos fundos respectivos. Seção II Das entidades Art. 2º Poderão operar no SFI as caixas econômicas, os bancos comerciais, os bancos de investimento, os bancos com carteira de crédito imobiliário, as sociedades de crédito imobiliário, as associações de poupança e empréstimo, as companhias hipotecárias e, a critério do Conselho Monetário Nacional - CMN, outras entidades. Art. 3º As companhias securitizadoras de créditos imobiliários, instituições não financeiras constituídas sob a forma de sociedade por ações, terão por finalidade a aquisição e securitização desses créditos e a emissão e colocação, no mercado financeiro, de Certificados de Recebíveis Imobiliários, podendo emitir outros títulos de crédito, realizar negócios e prestar serviços compatíveis com as suas atividades. Parágrafo único. O Conselho Monetário Nacional - CMN poderá fixar condições para o funcionamento das companhias de que trata este artigo. Seção III Do financiamento imobiliário Art. 4º As operações de financiamento imobiliário em geral serão livremente efetuadas pelas entidades autorizadas a operar no SFI, segundo condições de mercado e observadas as prescrições legais. Parágrafo único. Nas operações de que trata este artigo, poderão ser empregados recursos provenientes da captação nos mercados financeiro e de valores mobiliários, de acordo com a legislação pertinente. Art. 5º As operações de financiamento imobiliário em geral, no âmbito do SFI, serão livremente pactuadas pelas partes, observadas as seguintes condições essenciais: I - reposição integral do valor emprestado e respectivo reajuste; II - remuneração do capital emprestado às taxas convencionadas no contrato; III - capitalização dos juros; IV - contratação, pelos tomadores de financiamento, de seguros contra os riscos de morte e invalidez permanente. § 1º As partes poderão estabelecer os critérios do reajuste de que trata o inciso I, observada a legislação vigente. § 2º As operações de comercialização de imóveis, com pagamento parcelado, de arrendamento mercantil de imóveis e de financiamento imobiliário em geral poderão ser pactuadas nas mesmas condições permitidas para as entidades autorizadas a operar no SFI. (Redação dada pela Lei nº 10.931, de 2004) § 3º Na alienação de unidades em edificação sob o regime da Lei nº 4.591, de 16 de dezembro de 1964, a critério do adquirente e mediante informação obrigatória do incorporador, poderá ser contratado seguro que garanta o ressarcimento ao adquirente das quantias por este pagas, na hipótese de inadimplemento do incorporador ou construtor quanto à entrega da obra. Seção IV Do Certificado de Recebíveis Imobiliários Art. 6º O Certificado de Recebíveis Imobiliários - CRI é título de crédito nominativo, de livre negociação, lastreado em créditos imobiliários e constitui promessa de pagamento em dinheiro. Parágrafo único. O CRI é de emissão exclusiva das companhias securitizadoras. Art. 7º O CRI terá as seguintes características: I - nome da companhia emitente; II - número de ordem, local e data de emissão; III - denominação "Certificado de Recebíveis Imobiliários"; IV - for ma escritural; V - nome do titular; VI - valor nominal; VII - data de pagamento ou, se emitido para pagamento parcelado, discriminação dos valores e das datas de pagamento das diversas parcelas; VIII - taxa de juros, fixa ou flutuante, e datas de sua exigibilidade, admitida a capitalização; IX - cláusula de reajuste, observada a legislação pertinente; X - lugar de pagamento; XI - identificação do Termo de Securitização de Créditos que lhe tenha dado origem. § 1º O registro e a negociação do CRI far-se-ão por meio de sistemas centralizados de custódia e liquidação financeira de títulos privados. § 2º O CRI poderá ter, conforme dispuser o Termo de Securitização de Créditos, garantia flutuante, que lhe assegurará privilégio geral sobre o ativo da companhia securitizadora, mas não impedirá a negociação dos bens que compõem esse ativo. Seção V Da securitização de créditos imobiliár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2026-10-26T02:46:42.721Z</dcterms:created>
  <dcterms:modified xsi:type="dcterms:W3CDTF">2026-10-26T02:46:42.721Z</dcterms:modified>
</cp:coreProperties>
</file>

<file path=docProps/custom.xml><?xml version="1.0" encoding="utf-8"?>
<Properties xmlns="http://schemas.openxmlformats.org/officeDocument/2006/custom-properties" xmlns:vt="http://schemas.openxmlformats.org/officeDocument/2006/docPropsVTypes"/>
</file>