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REGISTRO DO CONTRATO</w:t>
      </w:r>
    </w:p>
    <w:p/>
    <w:p/>
    <w:p>
      <w:r>
        <w:t xml:space="preserve">02. SISTEMA DE FINANCIAMENTO IMOBILIÁRIO — ALIENAÇÃO FIDUCIÁRIA DE COISA IMÓVEL - INSTITUI</w:t>
      </w:r>
    </w:p>
    <w:p/>
    <w:p>
      <w:pPr>
        <w:pStyle w:val="Heading2"/>
      </w:pPr>
      <w:r>
        <w:rPr>
          <w:b/>
          <w:bCs/>
        </w:rPr>
        <w:t xml:space="preserve">Ementa</w:t>
      </w:r>
    </w:p>
    <w:p>
      <w:r>
        <w:t xml:space="preserve">Art. 27. Uma vez consolidada a propriedade em seu nome, o fiduciário, no prazo de trinta dias, contados da data do registro de que trata o § 7º do artigo anterior, promoverá público leilão para a alienação do imóvel. § 1º Se, no primeiro público leilão, o maior lance oferecido for inferior ao valor do imóvel, estipulado na forma do inciso VI do art. 24, será realizado o segundo leilão, nos quinze dias seguintes. § 2º No segundo leilão, será aceito o maior lance oferecido, desde que igual ou superior ao valor da dívida, das despesas, dos prêmios de seguro, dos encargos legais, inclusive tributos, e das contribuições condominiais. § 3º Para os fins do disposto neste artigo, entende-se por: I - dívida: o saldo devedor da operação de alienação fiduciária, na data do leilão, nele incluídos os juros convencionais, as penalidades e os demais encargos contratuais; II - despesas: a soma das importâncias correspondentes aos encargos e custas de intimação e as necessárias à realização do público leilão, nestas compreendidas as relativas aos anúncios e à comissão do leiloeiro. § 4º Nos cinco dias que se seguirem à venda do imóvel no leilão, o credor entregará ao devedor a importância que sobejar, considerando-se nela compreendido o valor da indenização de benfeitorias, depois de deduzidos os valores da dívida e das despesas e encargos de que tratam os §§ 2º e 3º, fato esse que importará em recíproca quitação, não se aplicando o disposto na parte final do art. 516 do Código Civil. § 5º Se, no segundo leilão, o maior lance oferecido não for igual ou superior ao valor referido no § 2º, considerar-se-á extinta a dívida e exonerado o credor da obrigação de que trata o § 4º. § 6º Na hipótese de que trata o parágrafo anterior, o credor, no prazo de cinco dias a contar da data do segundo leilão, dará ao devedor quitação da dívida, mediante termo próprio. § 7º Se o imóvel estiver locado, a locação poderá ser denunciada com o prazo de trinta dias para desocupação, salvo se tiver havido aquiescência por escrito do fiduciário, devendo a denúncia ser realizada no prazo de noventa dias a contar da data da consolidação da propriedade no fiduciário, devendo essa condição constar expressamente em cláusula contratual específica, destacando-se das demais por sua apresentação gráfica. (Incluído pela Lei nº 10.931, de 2004) § 8º Responde o fiduciante pelo pagamento dos impostos, taxas, contribuições condominiais e quaisquer outros encargos que recaiam ou venham a recair sobre o imóvel, cuja posse tenha sido transferida para o fiduciário, nos termos deste artigo, até a data em que o fiduciário vier a ser imitido na posse. (Incluído pela Lei nº 10.931, de 2004) Art. 28. A cessão do crédito objeto da alienação fiduciária implicará a transferência, ao cessionário, de todos os direitos e obrigações inerentes à propriedade fiduciária em garantia. Art. 29. O fiduciante, com anuência expressa do fiduciário, poderá transmitir os direitos de que seja titular sobre o imóvel objeto da alienação fiduciária em garantia, assumindo o adquirente as respectivas obrigações. Art. 30. É assegurada ao fiduciário, seu cessionário ou sucessores, inclusive o adquirente do imóvel por força do público leilão de que tratam os §§ 1° e 2° do art. 27, a reintegração na posse do imóvel, que será concedida liminarmente, para desocupação em sessenta dias, desde que comprovada, na forma do disposto no art. 26, a consolidação da propriedade em seu nome. Art. 31. O fiador ou terceiro interessado que pagar a dívida ficará sub-rogado, de pleno direito, no crédito e na propriedade fiduciária. Art. 32. Na hipótese de insolvência do fiduciante, fica assegurada ao fiduciário a restituição do imóvel alienado fiduciariamente, na forma da legislação pertinente. Art. 33. Aplicam-se à propriedade fiduciária , no que couber, as disposições dos arts. 647 e 648 do Código Civil. CAPÍTULO III Disposições Gerais e Finais Art. 34. Os contratos relativos ao financiamento imobiliário em geral poderão estipular que litígios ou controvérsias entre as partes sejam dirimidos mediante arbitragem, nos termos do disposto na Lei nº 9.307, de 24 de setembro de 1996. Art. 35. Nas cessões de crédito a que aludem os arts. 3º, 18 e 28, é dispensada a notificação do devedor. Art. 36. Nos contratos de venda de imóveis a prazo, inclusive alienação fiduciária, de arrendamento mercantil de imóveis, de financiamento imobiliário em geral e nos títulos de que tratam os arts. 6º, 7º e 8º, admitir-se-á, respeitada a legislação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2026-07-28T00:40:32.893Z</dcterms:created>
  <dcterms:modified xsi:type="dcterms:W3CDTF">2026-07-28T00:40:32.893Z</dcterms:modified>
</cp:coreProperties>
</file>

<file path=docProps/custom.xml><?xml version="1.0" encoding="utf-8"?>
<Properties xmlns="http://schemas.openxmlformats.org/officeDocument/2006/custom-properties" xmlns:vt="http://schemas.openxmlformats.org/officeDocument/2006/docPropsVTypes"/>
</file>