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6.122 DE 13-06-2007</w:t>
      </w:r>
    </w:p>
    <w:p/>
    <w:p/>
    <w:p>
      <w:r>
        <w:t xml:space="preserve">REGULAMENTO — ARTS. 97 E 101 DO DECRETO 3.048 DE 06-05-1999 -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6.122, DE 13 DE JUNHO DE 2007 Dá nova redação aos arts. 97 e 101 do Regulamento da Previdência Social, aprovado pelo Decreto nº 3.048, de 6 de maio de 1999. O PRESIDENTE DA REPÚBLICA, no uso da atribuição que lhe confere o art. 84, inciso IV, da Constituição, e tendo em vista o disposto nos arts. 15 e 73 da Lei nº 8.213, de 24 de julho de 1991, DECRETA: Art. 1º Os arts. 97 e 101 do Regulamento da Previdência Social, aprovado pelo Decreto no 3.048, de 6 de maio de 1999, passam a vigorar com a seguinte alteração: "Art. 97. O salário-maternidade da segurada empregada será devido pela previdência social enquanto existir relação de emprego, observadas as regras quanto ao pagamento desse benefício pela empresa. Parágrafo único. Durante o período de graça a que se refere o art. 13, a segurada desempregada fará jus ao recebimento do salário-maternidade nos casos de demissão antes da gravidez, ou, durante a gestação, nas hipóteses de dispensa por justa causa ou a pedido, situações em que o benefício será pago diretamente pela previdência social." (NR) "Art. 101.................. .................................. III - em um doze avos da soma dos doze últimos salários-de-contribuição, apurados em período não superior a quinze meses, para as seguradas contribuinte individual, facultativa e para as que mantenham a qualidade de segurada na forma do art. 13. .................................. § 3º O documento comprobatório para requerimento do salário-maternidade da segurada que mantenha esta qualidade é a certidão de nascimento do filho, exceto nos casos de aborto espontâneo, quando deverá ser apresentado atestado médico, e no de adoção ou guarda para fins de adoção, casos em que serão observadas as regras do art. 93-A, devendo o evento gerador do benefício ocorrer, em qualquer hipótese, dentro do período previsto no art. 13." (NR) Art. 2º Este Decreto entra em vigor na data de sua publicação.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2026-07-28T00:02:46.420Z</dcterms:created>
  <dcterms:modified xsi:type="dcterms:W3CDTF">2026-07-28T00:02:46.420Z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