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6.122 DE 13-06-2007</w:t>
      </w:r>
    </w:p>
    <w:p/>
    <w:p/>
    <w:p>
      <w:r>
        <w:t xml:space="preserve">02. COFINS E PIS/PASEP — LEGISLAÇÃO - ALTERA</w:t>
      </w:r>
    </w:p>
    <w:p/>
    <w:p>
      <w:pPr>
        <w:pStyle w:val="Heading2"/>
      </w:pPr>
      <w:r>
        <w:rPr>
          <w:b/>
          <w:bCs/>
        </w:rPr>
        <w:t xml:space="preserve">Ementa</w:t>
      </w:r>
    </w:p>
    <w:p>
      <w:r>
        <w:t xml:space="preserve">Art. 26. A base de cálculo do imposto de renda incidente na fonte sobre prêmios de resseguro cedidos ao exterior é de oito por cento do valor pago, creditado, entregue, empregado ou remetido. Art. 27. As missões diplomáticas e repartições consulares de caráter permanente, bem assim as representações de caráter permanente de órgãos internacionais de que o Brasil faça parte poderão, mediante solicitação, ser ressarcidas do valor do IPI incidente sobre produtos adquiridos no mercado interno, destinados à manutenção, ampliação ou reforma de imóveis de seu uso. § 1º No caso de missão diplomática e repartição consular, o disposto neste artigo aplicar-se-á, apenas, na hipótese em que a legislação de seu país dispense, em relação aos impostos incidentes sobre o valor agregado ou sobre a venda a varejo, conforme o caso, tratamento recíproco para as missões ou repartições brasileiras localizadas, em caráter permanente, em seu território. § 2º O ressarcimento a que se refere este artigo será efetuado segundo normas estabelecidas pela Secretaria da Receita Federal. Art. 28. Fica responsável pela retenção e pelo recolhimento dos impostos e das contribuições, decorrentes de aplicações em fundos de investimento, a pessoa jurídica que intermediar recursos, junto a clientes, para efetuar as referidas aplicações em fundos administrados por outra pessoa jurídica. § 1º A pessoa jurídica intermediadora de recursos deverá manter sistema de registro e controle, em meio magnético, que permita a identificação de cada cliente e dos elementos necessários à apuração dos impostos e das contribuições por ele devidos. § 2º O disposto neste artigo somente se aplica a modalidades de intermediação de recursos disciplinadas por normas do Conselho Monetário Nacional. Art. 29. Aplica-se o regime tributário de que trata o art. 81 da Lei nº 8.981, de 20 de janeiro de 1995, aos investidores estrangeiros, pessoas físicas ou jurídicas, residentes ou domiciliados no exterior, que realizam operações em mercados de liquidação futura referenciados em produtos agropecuários, nas bolsas de futuros e de mercadorias. § 1º O disposto neste artigo não se aplica a investimento estrangeiro oriundo de país que não tribute a renda ou a tribute à alíquota inferior a vinte por cento, o qual sujeitar-se-á às mesmas regras estabelecidas para os residentes ou domiciliados no País. § 2º Fica responsável pelo cumprimento das obrigações tributárias decorrentes das operações previstas neste artigo a bolsa de futuros e de mercadorias encarregada do registro do investimento externo no País. Art. 30. A partir de 1º de janeiro de 2000, as variações monetárias dos direitos de crédito e das obrigações do contribuinte, em função da taxa de câmbio, serão consideradas, para efeito de determinação da base de cálculo do imposto de renda, da contribuição social sobre o lucro líquido, da contribuição para o PIS/PASEP e COFINS, bem assim da determinação do lucro da exploração, quando da liquidação da correspondente operação. § 1º À opção da pessoa jurídica, as variações monetárias poderão ser consideradas na determinação da base de cálculo de todos os tributos e contribuições referidos no caput deste artigo, segundo o regime de competência. § 2º A opção prevista no § 1º aplicar-se-á a todo o ano-calendário. § 3º No caso de alteração do critério de reconhecimento das variações monetárias, em anos-calendário subseqüentes, para efeito de determinação da base de cálculo dos tributos e das contribuições, serão observadas as normas expedidas pela Secretaria da Receita Federal. § 4º A partir do ano-calendário de 2011: (Incluído pela Lei 12.249/2010) I - o direito de efetuar a opção pelo regime de competência de que trata o § 1º somente poderá ser exercido no mês de janeiro; e II - o direito de alterar o regime adotad o na forma do inciso I, no decorrer do ano-calendário, é restrito aos casos em que ocorra elevada oscilação da taxa de câmbio. § 5º Considera-se elevada oscilação da taxa de câmbio, para efeito de aplicação do inciso II do § 4º, aquela superior a percentual determinado pelo Poder Executivo. (Incluído pela Lei 12.249/2010) § 6º A opção ou sua alteração, efetuada na forma do § 4º, deverá ser comunicada à Secretaria da Receita Federal do Brasil: (Incluído pela Lei 12.249/2010) I - no mês de janeiro de cada ano-calendário, no caso do inciso I do § 4º; ou II - no mês posterior ao de sua ocorrência, no caso do inciso II do § 4º. § 7º A Secretaria da Receita Federal do Brasil disciplinará o disp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2026-07-28T02:01:00.225Z</dcterms:created>
  <dcterms:modified xsi:type="dcterms:W3CDTF">2026-07-28T02:01:00.225Z</dcterms:modified>
</cp:coreProperties>
</file>

<file path=docProps/custom.xml><?xml version="1.0" encoding="utf-8"?>
<Properties xmlns="http://schemas.openxmlformats.org/officeDocument/2006/custom-properties" xmlns:vt="http://schemas.openxmlformats.org/officeDocument/2006/docPropsVTypes"/>
</file>