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PARCELAMENTO DE DÉBITO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TJLP</w:t>
      </w:r>
    </w:p>
    <w:p>
      <w:r>
        <w:rPr>
          <w:b/>
          <w:bCs/>
        </w:rPr>
        <w:t xml:space="preserve">Relator: </w:t>
      </w:r>
      <w:r>
        <w:t xml:space="preserve">EROS GRAU</w:t>
      </w:r>
    </w:p>
    <w:p>
      <w:r>
        <w:rPr>
          <w:b/>
          <w:bCs/>
        </w:rPr>
        <w:t xml:space="preserve">Julgado em: </w:t>
      </w:r>
      <w:r>
        <w:t xml:space="preserve">07/11/2006</w:t>
      </w:r>
    </w:p>
    <w:p/>
    <w:p>
      <w:r>
        <w:t xml:space="preserve">04. COFINS E PIS/PASEP —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76. As normas que estabeleçam a afetação ou a separação, a qualquer título, de patrimônio de pessoa física ou jurídica não produzem efeitos em relação aos débitos de natureza fiscal, previdenciária ou trabalhista, em especial quanto às garantias e aos privilégios que lhes são atribuídos. Parágrafo único. Para os fins do disposto no caput, permanecem respondendo pelos débitos ali referidos a totalidade dos bens e das rendas do sujeito passivo, seu espólio ou sua massa falida, inclusive os que tenham sido objeto de separação ou afetação. Art. 77. O parágrafo único do art. 32 do Decreto-Lei nº 37, de 18 de novembro de 1966, passa a vigorar com a seguinte redação: "Art. 32. ................. ................................ Parágrafo único. É responsável solidário: I - o adquirente ou cessionário de mercadoria beneficiada com isenção ou redução do imposto; II - o representante, no País, do transportador estrangeiro; III - o adquirente de mercadoria de procedência estrangeira, no caso de importação realizada por sua conta e ordem, por intermédio de pessoa jurídica importadora." (NR) Art. 78. O art. 95 do Decreto-Lei nº 37, de 1966, passa a vigorar acrescido do inciso V, com a seguinte redação: "V - conjunta ou isoladamente, o adquirente de mercadoria de procedência estrangeira, no caso da importação realizada por sua conta e ordem, por intermédio de pessoa jurídica importadora." (NR) Art. 79. Equiparam-se a estabelecimento industrial os estabelecimentos, atacadistas ou varejistas, que adquirirem produtos de procedência estrangeira, importados por sua conta e ordem, por intermédio de pessoa jurídica importadora. Art. 80. A Secretaria da Receita Federal poderá: I - estabelecer requisitos e condições para a atuação de pessoa jurídica importadora por conta e ordem de terceiro; e II - exigir prestação de garantia como condição para a entrega de mercadorias, quando o valor das im portações for incompatível com o capital social ou o patrimônio líquido do importador ou do adquirente. Art. 81. Aplicam-se à pessoa jurídica adquirente de mercadoria de procedência estrangeira, no caso da importação realizada por sua conta e ordem, por intermédio de pessoa jurídica importadora, as normas de incidência das contribuições para o PIS/PASEP e COFINS sobre a receita bruta do importador. Art. 82. Fica acrescentada ao § 1º do art. 29 da Lei nº 8.981, de 20 de janeiro de 1995, a alínea "d", com a seguinte redação: "d) no caso de operadoras de planos de assistência à saúde: as co-responsabilidades cedidas e a parcela das contraprestações pecuniárias destinada à constituição de provisões técnicas." (NR) Art. 83. Para efeito de apuração do lucro real e da base de cálculo da contribuição social sobre o lucro líquido, poderá ser deduzido o valor das provisões técnicas das operadoras de planos de assistência à saúde, cuja constituição é exigida pela legislação especial a elas aplicável. Art. 84. Aplica-se a multa de um por cento sobre o valor aduaneiro da mercadoria: I - classificada incorretamente na Nomenclatura Comum do Mercosul, nas nomenclaturas complementares ou em outros detalhamentos instituídos para a identificação da mercadoria; ou II - quantificada incorretamente na unidade de medida estatística estabelecida pela Secretaria da Receita Federal. § 1º O valor da multa prevista neste artigo será de R$ 500,00 (quinhentos reais), quando do seu cálculo resultar valor inferior. § 2º A aplicação da multa prevista neste artigo não prejudica a exigência dos impostos, da multa por declaração inexata prevista no art. 44 da Lei nº 9.430, de 1996, e de outras penalidades administrativas, bem assim dos acréscimos legais cabíveis. Art. 85. Aplicam-se as alíquotas do Imposto de Importação e do Imposto sobre Produtos Industrializados correspondentes ao código da Nomencla tura Comum do Mercosul, dentre aqueles tecnicamente possíveis de utilização, do qual resulte o maior crédito tributário, quando a informação prestada na declaração de importação for insuficiente para a conferência da classificação fiscal da mercadoria após sua entrega ao importador. Art. 86. O valor aduaneiro será apurado com base em método substitutivo ao valor de transação, quando o importador ou o adquirente da mercadoria não apresentar à fiscalização, em perfeita ordem e conservação, os documentos comprobatórios das informações prestadas na declaração de importação, a correspondência comercial, bem assim os respectivos registros contábeis, se obrigado à escrituração. Art. 87. Presu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2026-07-28T00:28:50.030Z</dcterms:created>
  <dcterms:modified xsi:type="dcterms:W3CDTF">2026-07-28T00:28:50.030Z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