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FORNECIMENTO DE ÁGUA</w:t>
      </w:r>
    </w:p>
    <w:p/>
    <w:p>
      <w:r>
        <w:rPr>
          <w:b/>
          <w:bCs/>
        </w:rPr>
        <w:t xml:space="preserve">Relator: </w:t>
      </w:r>
      <w:r>
        <w:t xml:space="preserve">Flávio Citro Vieira</w:t>
      </w:r>
    </w:p>
    <w:p/>
    <w:p>
      <w:r>
        <w:t xml:space="preserve">PROPRIEDADE COMPARTILHADA — SIMULAÇÃO DE SORTEIO - MARKETING AGRESSIVO E ENGANOSO - NULIDADE DA CLÁUSULA ABUSIVA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337 - PROPRIEDADE COMPARTILHADA - SIMULAÇÃO DE SORTEIO - MARKETING AGRESSIVO E ENGANOSO - NULIDADE DA CLÁUSULA ABUSIVA. "Time Sharing". Sistema de multipropriedade imobiliária. Direito real de habitação periódica que garante ao proprietário e consumidor espaço temporal de uso de cada multipropriedade. Contrato que não garante direito real, mas sim mero direito obrigacional ou pessoal de multipropriedade. Inobservância do Decreto-Lei nº 275/93, de 5 de agosto que regula o Direito Real de Habitação Periódica ou "Time Sharing", autorizando inclusive o registro civil imobiliário regido pela Lei 6.015/73, Lei de Registros Públicos - L.R.P.. Na propriedade compartilhada, a utilização do bem por cada multiproprietário fica restrita a um período de tempo para cada um dos compartilhatários é dedicada uma fração ideal do terreno Regime legal do "Time Sharing" absoluta e completamente ignorado pela ré. Marketing agressivo e enganoso que simula um sorteio que oferece hospedagem gratuita em hotel, como forma de atrair clientes para venda de cota de um "apart hotel". Violação ao conceito de boa-fé, confiança e equilíbrio nas relações de consumo, artigo 4º do CDC. Artigo 51, IV da Lei 8.078/90. Nulidade da cláusula abusiva que estabelece perda das importâncias pagas, na hipótese de resilição do contrato pelo consumidor. Reclamação que não persegue indenização por dano moral, mas tão-somente ressarcimento das importâncias pagas (f. 6/7). Sentença de f. 38/39 que acolhe o pleito de nulidade da cláusula 4.5, parágrafos 3º, 4º e 10 do contrato de f. 10/13. Manutenção da sentença quanto ao acolhimento da devolução da importância paga, no total de R$ 1.997,78, corrigida, desde a data dos desembolsos, f. 4/15 - R$ 442,50 em 04/10/97; R$ 442,50 em 04/11/97; R$ 442,50 em 04/12/97; R$ 418,10 em 20/02/99; R$ 252,18 em 06/11/98. Provimento parcial do recurso tão-somente para expungir da condenação indenização por dano material relativa a "119 meses faltantes" pedido não contemplado na inicial de f. 6/7. Pelo exposto, voto pelo provimento parcial do recurso de f. 40/44 tão-somente para expungir da condenação a indenização por dano material relativa a "119 meses faltantes", pedido não contemplado na inicial 6/7, mantendo a sentença quanto à declaração de nulidade da cláusula 4.5, parágrafos 3º, 4º e 10 do contrato de f. 10/13 e quanto à devolução da importância paga, no total de R$ 1.997,78, corrigida, desde a data dos desembolsos, f. 4/15 - R$ 442,50 em 04/10/97; R$ 442,50 em 04/11/97; R$ 442,50 em 04/12/97; R$ 418,10 em 20/02/99; R$ 252,18 em 06/11/98. Sem honorários, na forma do artigo 54 e 55 da Lei 9.099/95. Processo nº 2002.700.023.695-8. Relator: Juiz Flávio Citro Vieira de Mello. Sessão: 11/03/2003. Decisão unânime. Cadernos de Jurisprudência. Juizados Especiais. Editora Espaço Jurídico. Setembro de 2003. Vol. 006. Pág. 35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2026-10-26T05:58:46.872Z</dcterms:created>
  <dcterms:modified xsi:type="dcterms:W3CDTF">2026-10-26T05:58:46.872Z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