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CAUSA ENTRE SINDICATO E ASSOCIADO</w:t>
      </w:r>
    </w:p>
    <w:p/>
    <w:p/>
    <w:p>
      <w:r>
        <w:t xml:space="preserve">PLACA DE TÁXI — USO PROFISSIONAL - ÚNICA FONTE DE RENDA - ÔNUS DO DEVEDOR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8.009/90 prevê a impenhorabilidade de equipamento de uso profissional. Entretanto, deve-se demonstrar que tal equipamento é o único meio de sustento da família e que o próprio devedor o utilize como instrumento de trabalho. No presente caso, o ônus da prova é do embargante, cabendo-lhe demonstrar fato alegado, constitutivo do seu direito. Contudo, não trouxe aos autos nenhum documento que lhe desse sustentação para a garantia de seu pedido. Não juntou sequer sua carteira de habilitação e, o mais importante, o registro de condutor expedido pela BHtrans. - O embargado anexou ao processo certidões da Junta Comercial do Estado de Minas Gerais, nas quais consta o embargante como sócio majoritário de duas empresas na função de sócio-gerente, configurando que o embargante possui outras fontes de renda. - A alegação de que as testemunhas do apelante afirmaram que o mesmo trabalha com táxi, por si só, não ilide o fato provado do exercício de outras atividades rendosas do apelante. Pode até ser motorista de táxi, mas não é a única atividade do apelante. - Não há motivos para reformar a decisão recorrida. - Pelo exposto, nego provimento ao recurso. Ac. de 07-05-2004 DJ de 20-05-2004 Arquivo do EMENTÁRIO FORENSE, TJMG/N 6854 EMENTÁRIO FORENSE. Agosto, 2007. Ano LIX. Nº 705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produzindo o embargante prova subsistente de que utiliza o táxi como sua única fonte de renda, torna admissível a penhora. - Trazendo o embargado documentos que provam que o embargante possui outras atividades rendosas, não há que se falar em bem de família ou indispensável à atividade profissional.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2026-10-26T05:56:56.125Z</dcterms:created>
  <dcterms:modified xsi:type="dcterms:W3CDTF">2026-10-26T05:56:56.125Z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