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- IPI</w:t>
      </w:r>
    </w:p>
    <w:p>
      <w:r>
        <w:rPr>
          <w:i/>
          <w:iCs/>
          <w:color w:val="666666"/>
        </w:rPr>
        <w:t xml:space="preserve">DECRETO 4.544 DE 26-12-2002</w:t>
      </w:r>
    </w:p>
    <w:p/>
    <w:p>
      <w:r>
        <w:rPr>
          <w:b/>
          <w:bCs/>
        </w:rPr>
        <w:t xml:space="preserve">Recurso: </w:t>
      </w:r>
      <w:r>
        <w:t xml:space="preserve">AGRAVO REGIMENTAL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DAÇÃO EM PAGAMENTO DE BEM IMÓVEL — CONDIÇÕES PARA SUA EXTINÇÃO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Foi devidamente debatida no acórdão recorrido a questão federal objeto do recurso, qual seja, a da necessidade ou não de lei específica para viabilizar a dação em pagamento como meio de extinção do crédito tributário. Da mesma forma, houve indicação do dispositivo tido como violado, o art. 156, XI, do CTN (fls.). Assim, está atendido o requisito do prequestionamento. - A matéria de fundo diz respeito à eficácia do inciso XI do art. 156 do CTN (incluído pela LC 104/2001), que prevê, como modalidade de extinção do crédito tributário, "a dação em pagamento em bens imóveis, na forma e condições estabelecidas em lei". Segundo decorre de seu próprio teor, trata-se de preceito normativo de eficácia limitada, subordinada à intermediação de outra norma, dispondo sobre a forma e as condições para sua implementação. Realmente, o CTN, na sua condição de lei complementar destinada a "estabelecer normas gerais em matéria de legislação tributária" (CF, art. 146, III), apenas autorizou aquela modalidade de extinção do crédito tributário, mas não a impôs obrigatoriamente, cabendo assim a cada ente federativo, no domínio de sua competência e segundo as conveniências de sua política fiscal, editar norma própria regulamentad ora da medida. - A hipótese, sob esse aspecto, é semelhante a outra modalidade de extinção do crédito tributário, a compensação, prevista no inciso III do mesmo art. 156 do CTN, que também depende de intermediação de lei ordinária para ter eficácia, conforme prevê o art. 170 do CTN. - No que diz respeito à dação em pagamento, cumpre observar que, mesmo antes da LC 104, de 2001, já se considerava legítima a instituição, no âmbito de cada ente federativo interessado (União, Estados, Distrito Federal e Municípios), dessa forma de extinção do crédito tributário (ICHIHARA, YOSHIAKI, in Revista Tributária e de Finanças Públicas 41, ed. Revista dos Tribunais, Extinção do Crédito Tributário - Dação em Pagamento, p.193). A rigor, a superveniente Lei Complementar apenas explicitou uma autorização já implícita no sistema, decorrente da competência normativa estabelecida na Constituição. A matéria foi analisada pelo Supremo Tribunal Federal na ADInMC 2.405-RS, Min. Carlos Britto, Pleno, DJ de 17.02.06, oportunidade em que o Min. Ilmar Galvão observou, a propósito, o seguinte: "A Lei Complementar nº 104/2001, em seu art. 1º, acrescentou ao rol do art. 156 do CTN a dação em pagamento de bens imóveis, sob o inciso XI, assim redigido: 'XI - a dação em pagamento em bens imóveis, na forma e condições estabelecidas em lei.' A disposição, todavia, pelas razões acima expostas, não teve o efeito de ampliar o rol de causas de extinção do crédito tributário, visto que já era aceita pela doutrina a possibilidade de a lei estadual atribuir ao instituto esse efeito e nem muito menos de restringir essa possibilidade aos bens imóveis, dado não se poder ter por razoável qualquer limitação dessa ordem, aos Estados, impedindo-o de aceitar, em pagamento de seus créditos, v.g., títulos públicos por ele mesmo emitidos, ou pela União, o que não passaria de um rematado contra-senso. Nada impedia, nem impede, por isso, em princípio, que a lei esta dual, com vista ao incremento da receita, estabeleça novas modalidades de extinção da dívida ativa, como fez a lei gaúcha, ao instituir a dação em pagamento, visto que a transação e a moratória, também nela previstas, estão contempladas no CTN. Trata-se de medida de economia interna de cada unidade federada, que, por isso, não exige uniformidade normativa, ditada por lei complementar." - A doutrina especializada, da mesma forma, refere a necessidade de lei específica para autorizar a dação em pagamento para extinção do crédito tributário, sem questionar a legitimidade dessa exigência: "As leis federais, estaduais e municipais que venham a autorizar a dação em pagamento de bens deverão definir a forma e as condições que tal se dará, sendo essencial, quanto a isso, a definição dos critérios para a avaliação dos imóveis." (PAULSEN, LEANDRO, in Direito Tributário, Constituição e Código Tributário à luz da Doutrina e da Jurisprudência, ed. Livraria do Advogado, 8ª ed., 2006, p. 1160) "O art. 156 do CTN faz referência à dação em pagamento de bens imóveis, na forma prevista em lei.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inciso XI, do art. 156 do CTN (incluído pela LC 104/2001), que prevê, como modalidade de extinção do crédito tributário, "a dação em pagamento em bens imóveis, na forma e condições estabelecidas em lei", é preceito normativo de eficácia limitada, subordinada à intermediação de norma regulamentadora. - O CTN, na sua condição de lei complementar destinada a "estabelecer normas gerais em matéria de legislação tributária" (CF, art. 146, III), autorizou aquela modalidade de extinção do crédito tributário, mas não a impôs obrigatoriamente, cabendo assim a cada ente federativo, no domínio de sua competência e segundo as conveniências de sua política fiscal, editar norma própria para implementar a medida.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2026-10-26T01:59:57.092Z</dcterms:created>
  <dcterms:modified xsi:type="dcterms:W3CDTF">2026-10-26T01:59:57.092Z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