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Relator: </w:t>
      </w:r>
      <w:r>
        <w:t xml:space="preserve">Geraldo Gama Salles</w:t>
      </w:r>
    </w:p>
    <w:p/>
    <w:p>
      <w:r>
        <w:t xml:space="preserve">01. ALIENAÇÃO FIDUCIÁRIA EM GARANTIA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1 ALIENAÇÃO FIDUCIÁRIA EM GARANTIA. SE, VENDIDA A COISA GARANTIDA FIDUCIARIAMENTE, HÁ SALDO DEVEDOR, PODE O CREDOR, POR ELE, EXECUTAR O AVALISTA DO TÍTULO EMITIDO EM GARANTIA DO PAGAMENTO DA QUANTIA MUTUADA. Publicação: DJ nº 5.190/29.11.78/Pág. 01 Referência: Pedido de Uniformização de Jurisprudência nº 1, da Capital; Lei nº 4.728/66, art. 66, parágrafos 4º e 5º Dec.-Iei nº 911/69, arts. 2º, 5º e 6 Florianópolis, 22 de novembro de 1978. Euardo Luz, Presidente; Osny Caetano, Relator. Geraldo Gama Salles, Nelson Konrad, Rid Silva, Reynaldo Alves, Nauro Collaço, Walberto Schmitz, Procurador do Estado. Presidiu o julgamento o Exmo. Sr. Des. Cerqueira Cintra e foi voto vencedor o Exmo. Sr. Des. Ayres Gama.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2026-07-28T02:13:26.042Z</dcterms:created>
  <dcterms:modified xsi:type="dcterms:W3CDTF">2026-07-28T02:13:26.042Z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