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83.360-</w:t>
      </w:r>
    </w:p>
    <w:p/>
    <w:p>
      <w:r>
        <w:t xml:space="preserve">02. RESPONSABILIDADE CIVIL — ACIDENTE DE TRÂNSITO - ILEGITIMIDADE DE CAUSA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2 RESPONSABILIDADE CIVIL. ACIDENTE DE TRÂNSITO. ILEGITIMIDADE DE CAUSA. INOCORRÊNCIA. COMPROVADA INDUVIDOSAMENTE A COMPRA E VENDA DO VEÍCULO, AINDA QUE NÃO EFETUADA A TRANSFERÊNCIA DO CERTIFICADO DE REGISTRO NA REPARTIÇÃO COMPETENTE, RESPONDE O NOVO PROPRIETÁRIO PELOS DANOS CAUSADOS A TERCEIRO. Publicação: DJE nº 5.654/14.10.80/Pág. 03 Referência: Pedido de Uniformização de Jurisprudência nº 3, de Biguaçu; RE nº 83.360-PR; Apelação Cível nº 10.370, de Chapecó; Apelação Cível nº 11.200, de Lages; Apelação Cível nº 13.186, de Tubarão; Apelação Cível nº 13.254, de São Lourenço do Oeste; Apelação Cível nº 14.874, de São José. Florianópolis, 10 de setembro de 1980. Geraldo Gama Salles, Presidente; Osny Caetano, Relator designado. Nelson Konrad, Reynaldo Alves, Wilson Antunes, Hélio Mosimann, Protásio Leal, Aluizio Blasi, João Martins.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2026-07-27T23:54:04.159Z</dcterms:created>
  <dcterms:modified xsi:type="dcterms:W3CDTF">2026-07-27T23:54:04.159Z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