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Agravo de Instrumento 2001.005889-8</w:t>
      </w:r>
    </w:p>
    <w:p/>
    <w:p>
      <w:r>
        <w:t xml:space="preserve">15. EXECUÇÃO FISCAL — DOCUMENTO ESSENCIAL PARA PROPOSITURA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15 Não constituindo o documento essencial a propositura da execução fiscal (CPC. 183; Lei 6.830/80, art. 6º, § 1º), não é lícito ao juiz determinar, de ofício, que o credor comprove ter notificado o devedor do lançamento do tributo. Publicação: DJ 11.239/ 24.07.2003/ Pág 01. Referências: Pedido de Uniformização de Jurisprudência em Agravo de Instrumento n. 2001.005889-8, de Balneário Camboriú; CPC, art. 183; Lei 6.830/80, art. 6º, § 1º). Florianópolis, 12 de setembro de 2002. Desembargador João Martins, Presidente, Desembargador Newton Trisotto, Relator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2026-07-28T00:36:11.926Z</dcterms:created>
  <dcterms:modified xsi:type="dcterms:W3CDTF">2026-07-28T00:36:11.926Z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