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2005.030499-6</w:t>
      </w:r>
    </w:p>
    <w:p/>
    <w:p>
      <w:r>
        <w:t xml:space="preserve">17. INCONSTITUCIONALIDADE DE NORMA — DECISÃO QUE DECLARA - ALCANCE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17 A decisão que declara a inconstitucionalidade de uma norma porque nula "ex tunc", alcança todos os atributos que uma lei constitucional seria capaz de congregar, inclusive torna ineficaz a cláusula expressa ou implícita de revogação da disposição aparentemente substituída, mantendo vigente, como se alteração não tivesse havido, a legislação anterior, à qual se confere efeitos repristinatórios. Publicação: DJE nº 116/ 18.12.2006/ Pág. 01 Referência: Pedido de Uniformização de Jurisprudência em Apelação Cível n. 2005.030499-6, Suscitantes: suscitantes Márcia Terezinha Coelho Knabben e outros. Florianópolis, dez de maio de dois mil e seis. Presidente c/ voto vencido: Des. Francisco Oliveira Filho, Relator Designado: César Abreu Votos vencidos: Des. Luiz Cézar Medeiros; Des. Orli de Ataíde Rodrigues e Des. Cid Goulart.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2026-10-26T03:10:12.070Z</dcterms:created>
  <dcterms:modified xsi:type="dcterms:W3CDTF">2026-10-26T03:10:12.070Z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