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IMPOSTO - ICM</w:t>
      </w:r>
    </w:p>
    <w:p>
      <w:r>
        <w:rPr>
          <w:i/>
          <w:iCs/>
          <w:color w:val="666666"/>
        </w:rPr>
        <w:t xml:space="preserve">CASTANHA DO PARÁ INDUSTRIALIZADA</w:t>
      </w:r>
    </w:p>
    <w:p/>
    <w:p>
      <w:r>
        <w:rPr>
          <w:b/>
          <w:bCs/>
        </w:rPr>
        <w:t xml:space="preserve">Tribunal: </w:t>
      </w:r>
      <w:r>
        <w:t xml:space="preserve">STF</w:t>
      </w:r>
    </w:p>
    <w:p>
      <w:r>
        <w:rPr>
          <w:b/>
          <w:bCs/>
        </w:rPr>
        <w:t xml:space="preserve">Relator: </w:t>
      </w:r>
      <w:r>
        <w:t xml:space="preserve">José Delgado</w:t>
      </w:r>
    </w:p>
    <w:p/>
    <w:p>
      <w:r>
        <w:t xml:space="preserve">TAXAS DE ILUMINAÇÃO E COLETA DE LIXO — IMUNIDADE DE JURISDIÇÃO E TRIBUTÁRIA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No mérito, todavia, tenho que não merecem guarida as pretensões da municipalidade ora recorrente, pelo que há de ser mantida hígida a r. sentença ora hostilizada. - "Prima facie", impende destacar que os Estados estrangeiros gozam de imunidade de jurisdição, com base no art. 23 da Convenção de Viena sobre Relações Diplomáticas. - Ademais, estão os Estados estrangeiros imunes ao pagamento de tributos incidentes sobre seu patrimônio e por serviços que não lhes sejam prestados individualmente, como no caso "sub examine", em que a municipalidade ora recorrente cobra da República da Bolívia suposta dívida relativa a taxas de limpeza e iluminação pública, cujos fatos geradores estariam jungidos ao local onde se situa a repartição consular. - Esta é justamente a inteligência do art. 32 da Convenção de Viena Sobre Relações Consulares, integrada ao ordenamento jurídico brasileiro pelo Decreto-lei n.º 183/63, "verbis": "Art. 32 - Isenção Fiscal dos Locais Consulares: 1.º Os locais consulares e a residência do chefe da repartição consular de carreira de que for proprietário o Estado que envia ou pessoa que atue em seu nome, estarão isentos de quaisquer impostos e taxas nacionais, regionais e municipais, excetuadas as taxas de cobradas em pagamento de serviços específicos prestados." - Consoante se depreende do dispositivo supra transcrito, somente se excetua da regra de imunidade o pagamento de taxas devidas por serviços específicos prestados, o que tecnicamente corresponde aos preços públicos. Na hipótes e dos autos, porém, discute-se a exigibilidade de taxas de iluminação e coleta de lixo, que já tiveram sua inconstitucionalidade declarada pelo Col. Supremo Tribunal Federal, na medida em que a prestação dos serviços que as justificariam é "uti universi" e não "uti singuli". - Assim, não merece reparos a r. sentença ora recorrida, na medida em que, acertadamente, extinguiu a demanda, sem resolução meritória. - Nesta esteira de entendimento, faz-se oportuna a colação, à guisa de exemplo, dos recentíssimos julgados de ambas as Turmas julgadoras integrantes da E. Primeira Seção desta Corte Superior sobre a questão vertente: "PROCESSUAL E TRIBUTÁRIO. RECURSO ORDINÁRIO. EXECUÇÃO FISCAL. IPTU E TAXA. ISENÇÃO. CONVENÇÃO DE VIENA. 1. Versam os autos sobre ação de execução fiscal proposta pela municipalidade em face do GOVERNO DA REPÚBLICA DA BOLÍVIA, objetivando a cobrança de débitos referentes ao Imposto Predial e Territorial Urbano, à Taxa de Coleta de Lixo e Limpeza Urbana e à Taxa de Iluminação Pública. Opostos embargos à execução por parte do executado, o juízo a quo proferiu sentença (fls.) nos autos da execução fiscal, extinguindo-a sem julgamento de mérito, com base no artigo 267, VI, do CPC, restando o executante não condenado em custas processuais e honorários advocatícios. Fundamentando, o juiz sentenciante assinalou que o Estado Estrangeiro detém imunidade de jurisdição, com base nas Convenções de Viena de 1961 e 1963 sobre Relações Diplomáticas (Decreto nº 56.435/65) e sobre Relações Consulares (Decreto nº 61.078/67) e, ainda, na jurisprudência do STF, sinalizando que a referida imunidade inviabiliza a cobrança dos créditos tributários, o que implica o reconhecimento de impossibilidade jurídica do pedido. No Recurso Ordinário (fls.), o Município defende que, a despeito da teoria da imunidade absoluta de jurisdição, deve ser aplicada ao caso a teoria da imunidade relativa dos Estados Estrangeiros, aderida pelo Brasil qu ando da adoção do Código de Bustamante. Argumenta que a imunidade de jurisdição existiria quando da prática de atos de império, mas não estaria salvaguardado o Estado pela mesma quando da prática de atos de gestão, consubstanciados em aquisição de bens imóveis e de utilização de serviços públicos municipais específicos, agindo como simples particular. Não houve oferecimento de contra-razões pelo recorrido. 2. A jurisprudência desta Corte é no sentido de que em matéria tributária o Estado estrangeiro detém imunidade de jurisdição, nos termos das Convenções de Viena de 1961 e 1963. 3. O STF já declarou inconstitucional a cobrança da taxa de limpeza pública e iluminação pública ante a ausência de especificidade. Indevida, portanto, sua cobrança. 4. Recurso conhecido e não-provido." (RO n.º 49/RJ, Primeira Turma, Rel. Min. José Delgado, DJU de 07/11/2006). "PROCESSUAL CIVIL - RECURSO ORDINÁRIO - EXECUÇÃO FISCAL - EXCEÇÃO DE PRÉ-EXECUTIVIDADE - ESTADO ESTRANGEIRO - IPTU E TAXAS - IMUNIDADE FISCAL - IMUNIDADE D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Os Estados estrangeiros gozam de imunidade de jurisdição e tributária, com esteio, respectivamente, nos arts. 23, da Convenção de Viena sobre Relações Diplomáticas, e 32, da Convenção de Viena sobre Relações Consulares, estando, assim, isentos do pagamento de tributos que recaiam sobre seu patrimônio ou lhes sejam exigidos pela prestação não individualizada de serviços.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2026-09-11T00:27:14.832Z</dcterms:created>
  <dcterms:modified xsi:type="dcterms:W3CDTF">2026-09-11T00:27:14.832Z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