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AP /</w:t>
      </w:r>
    </w:p>
    <w:p/>
    <w:p>
      <w:r>
        <w:t xml:space="preserve">OBRIGAÇÃO DE FAZER CUMPRIDA PELO CONSUMIDOR — QUANDO CABE AO FORNECEDOR E/OU FABRICANTE RESSARCIR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para ver-se desobrigada da responsabilidade que resulta do disposto no art. 12, do Código de Defesa do Consumidor, cabia a apelante fazer prova cabal da culpa exclusiva do apelado, com maior razão porque o Juízo "a quo", ao despachar a inicial, convencido da hipossuficiência do apelado, inverteu o ônus da prova. Aliás, proceder esse de todo acertado, uma vez que a controvérsia envolvia alegação de que um automóvel, adquirido zero quilômetro junto a litisconsorte S., após quatro meses e vinte dias de uso, apresentou um defeito no motor, cuja descoberta do que teria ocasionado tal pane dependia de conhecimentos técnicos-científicos, que o ora apelado, evidentemente, não dispunha. - Com efeito, impõe-se reconhecer que a apelante e sua litisconsorte não se desincumbiram do ônus probatório que pesava sobre seus ombros, qual seja, o de demonstrar a culpa exclusiva do apelado, como único meio, repito, de se desobrigarem. - Portanto, não tenho dúvidas de que a apelante, na condição de fabricante de produto adquirido pelo apelado, e a litisconsorte S., como concessionária autorizada e vendedora do veículo, solidariamente, têm o dever de ressarcir o apelado pelos gastos que expendeu com a reparação da pane ocorrida no motor do multireferido automóvel. - É certo que a obrigação das mesmas era de providenciar a reparação, sem ônus para o apelado, uma vez que a pane ocorreu quando o veículo contava apenas quatro meses e vinte dias de adquirido e, por isso mesmo, dentro do prazo de garantia. No entanto, considerando que se negaram a cumprir tal obrigação e que o apelado, não podendo ficar aguardando a demorada solução da perlonga sem utilizar o veículo, já providenciou o conserto, cabe-lhes, agora, conforme já realç ado, arcar com o ressarcimento. - Quanto ao montante da condenação, não foi objeto de impugnação e, a par disso, se mostra de todo razoável, eis que estabelecido com base no orçamento apresentado pela litisconsorte S., então concessionária da apelante neste Estado. Ademais, os acessórios incidentes (juros e atualização monetária) e os consectários da sucumbência foram fixados em observância à legislação pertinente e à orientação jurisprudencial aplicável. - "Ex positis", improvejo a apelação, mantendo intacta a sentença objurgada. - Este é o meu voto. Ac. de 05-07-2005 Revista dos Tribunais. Dezembro, 2005. Ano 94. Vol. 842. Pág. 238 Arquivo do EMFOR, TJAP/N 6907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em razão de inércia do fornecedor e/ou do fabricante, a obrigação é cumprida pelo próprio consumidor, nasce para este o direito a ressarcimento por via de perdas e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2026-10-26T03:47:34.945Z</dcterms:created>
  <dcterms:modified xsi:type="dcterms:W3CDTF">2026-10-26T03:47:34.945Z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