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Resp 639.832/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TEORI ALBINO ZAVASCKI</w:t>
      </w:r>
    </w:p>
    <w:p/>
    <w:p>
      <w:r>
        <w:t xml:space="preserve">CONTAS VINCULADAS — EMISSÃO DOS EXTRATOS PARA ELABORAÇÃO DOS CÁLCULOS - ORDEM JUDICIAL - DESCUMPRIMENTO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cerne da controvérsia cinge-se ao cabimento da imposição de astreintes para persuadir a CAIXA ECONÔMICA FEDERAL a apresentar os extratos analíticos das contas vinculadas ao Fundo de Garantia por Tempo de Serviço. - A pretensão da recorrente prospera. Todavia, a ofensa ao art. 461, § 4º, do CPC, não decorre dos argumentos invocados nas razões do apelo nobre, mas, antes, porque não cabe a aplicação das astreintes em decorrência do descumprimento desta específica ordem judicial. - "In casu", o magistrado incorreu em equívoco ao utilizar do instituto da astreintes para persuadir a CAIXA ECONÔMICA FEDERAL a apresentar os extratos analíticos das contas vinculadas ao Fundo de Garantia por Tempo de Serviço. - A CEF, na qualidade de gestora do Fundo de Garantia, tem o dever de emitir os extratos individuais correspondentes às contas vinculadas e para esse fim pode requisitá-las de outrem. - Deveras, tratando-se de liquidação do "quantum" incidem as regras "operandi" do art. 475 - B, "verbis": "Art. 475-B. Quando a determinação do valor da condenação depender apenas de cálculo aritmético, o credor requererá o cumprimento da sentença, na forma do art. 475-J desta Lei, instruindo o pedido com a memória discriminada e atualizada do cálculo. § 1º Quando a elaboração da memória do cálculo depender de dados existentes em poder do devedor ou de terceiro, o juiz, a requerimento do credor, poderá requisitá-los, fixando prazo de até trinta dias para o cumprimento da diligência. § 2º Se os dados não forem, injustificadamente, apresentados pelo devedor, reputar-se-ão corretos os cálculos apresentados pelo credor, e, se não o forem pelo terceiro, configurar-se-á a situação prevista no art. 362." - Consectariamente, à míngua de previsão legal, são incabíveis as astreintes na hipótese vertente, tanto mais que "ad impossibilia nemo tenetur", mercê de a novel Lei n.º 11.232/2005 sugerir solução factível mais adequada do que os referidos meios de coerção. - Sob essa ótica o E. STJ já decidiu que: "PROCESSUAL CIVIL. FGTS. EXECUÇÃO DE TÍTULO JUDICIAL. LIQUIDAÇÃO DE SENTENÇA. AUSÊNCIA DE EXTRATOS ANALÍTICOS DOS SALDOS DAS CONTAS FUNDIÁRIAS. ILIQUIDEZ DO TÍTULO. 1. É do nosso sistema processual que "toda execução tem por base título executivo, judicial ou extrajudicial" (CPC, art. 583), sendo que "a execução para cobrança de crédito, fundar-se-á sempre em título líquido, certo e exigível" (CPC, art. 586), sob pena de nulidade ("É nula a execu ção: I - se o título não for líquido, certo e exigível" - CPC, art. 618, I). 2. A sentença que condena a CEF a pagar diferenças de correção monetária do FGTS somente pode ser executada após a devida apuração do "quantum debeatur" (CPC, art. 603). Enquanto isso não ocorrer, a sentença é ilíquida e a sua execução, portanto, é nula. 3. A liquidação, no caso, não é, necessariamente, por artigos, podendo ser promovida segundo o procedimento do § 1º do art. 604 do CPC (redação da Lei 10.444/2002): "Quando a elaboração da memória de cálculo depender de dados em poder do devedor ou de terceiro, o juiz, a requerimento do credor, poderá requisitá-la, fixando prazo de até trinta (30) dias para cumprimento da diligência (...)" . (Resp. 639.832/AL, 1ª T., Rel. Min. Teori Albino Zavascki, DJ de 10.10.2005)." 4. Recurso especial a que se dá parcial provimento." (REsp 946327/AL, Relator Ministro TEORI ALBINO ZAVASCKI, DJ de 28.06.2007) "PROCESSUAL CIVIL. ALEGAÇÃO DE OFENSA AO ART. 535 DO CPC. NEGATIVA DE PRESTAÇÃO JURISDICIONAL NÃO CONFIGURADA. EMBARGOS À EXECUÇÃO DE SENTENÇA. IMPOSSIBILIDADE MATERIAL DE APRESENTAÇÃO DOS EXTRATOS DAS CONTAS VINCULADAS. P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obrigação da CEF atender às requisições para fornecimento dos extratos das contas vinculadas do FGTS, que estejam em seu poder. - Ante a impossibilidade material de fornecimento dos extratos correspondentes aos períodos anteriores à centralização das contas, a prova necessária à liquidação da sentença pode ser produzida, a pedido ou mesmo de ofício, por outros meios, tais como (a) a requisição dos extratos junto ao banco originalmente depositário (Decreto 99.684/90, art. 23; LC 110/01, art. 10), (b) a requisição dos dados junto ao empregador (art. 17 da Lei 8.036/90) e (c) a requisição ou juntada de guias de recolhimento do FGTS, recibos de pagamento de salários ou anotações na carteira de trabalho. - A sentença que condena a CEF a pagar diferenças de correção monetária do FGTS somente pode ser executada após a devida apuração do "quantum debeatur" (CPC, art. 603). Enquanto isso não ocorrer, a sentença é ilíquida e a sua execução, portanto, é nula. - A liquidação, no caso, não é, necessariamente, por artigos, podendo ser promovida segundo o procedimento do § 1º do art. 604 do CPC (redação da Lei 10.444/2002): "Quando a elaboração da memória de cálculo depender de dados em poder do devedor ou de terceiro, o juiz, a requerimento do credor, poderá requisitá-la, fixando prazo de até trinta (30) dias para cumprimento da diligência (...)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2026-10-26T02:14:37.600Z</dcterms:created>
  <dcterms:modified xsi:type="dcterms:W3CDTF">2026-10-26T02:14:37.600Z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