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TJRS</w:t>
      </w:r>
    </w:p>
    <w:p/>
    <w:p>
      <w:r>
        <w:t xml:space="preserve">BEM ADQUIRIDO PELA MULHER DURANTE A SEPARAÇÃO DE FATO — EXCLUSÃO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Comprovada a alegação da recorrente de que o imóvel sob testilha fora adquirido quando separada de fato do apelado, assim como de seu esforço advieram as benfeitorias ali existentes, sem a participação do recorrido, não há como incluí-lo na partilha dos bens do casal. - Assim orientam os nossos tribunais, "verbis": "Separação judicial. Bem adquirido por herança durante separação de fato. Partilha descabida. Conforme pacífico entendimento deste tribunal, não se comunica o imóvel adquirido pelo separando quando as partes já estavam separadas de fato. Precedentes. Apelação desprovida" (TJRS, 8ª Câm. Cív., ApCív 70011302965, rel. José Ataídes Siqueira Trindade, j. 05.05.2005). - Ante o exposto, conhece-se do presente recurso, para dar-lhe provimento e reformar a decisão de primeiro grau, determinando-se que seja excluído da partilha o imóvel situado à travessa BBB, bem como suas respectivas benfeitorias, que em conjunto pertencem unicamente à apelante. - É como voto. Ac. de 20-03-2007 Revista dos Tribunais. Setembro, 2007. Ano 96. Vol. 863. Pág. 298 Arquivo do EMFOR, TJMA/N 7033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bem foi adquirido por esforço próprio da mulher, sem a participação do marido, quando as partes estavam separadas de fato, é de ser excluído da partilha.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2026-06-17T15:20:02.945Z</dcterms:created>
  <dcterms:modified xsi:type="dcterms:W3CDTF">2026-06-17T15:20:02.945Z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