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TJRS</w:t>
      </w:r>
    </w:p>
    <w:p/>
    <w:p>
      <w:r>
        <w:t xml:space="preserve">BEM ADQUIRIDO PELA MULHER DURANTE A SEPARAÇÃO DE FATO — EXCLUSÃO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Comprovada a alegação da recorrente de que o imóvel sob testilha fora adquirido quando separada de fato do apelado, assim como de seu esforço advieram as benfeitorias ali existentes, sem a participação do recorrido, não há como incluí-lo na partilha dos bens do casal. - Assim orientam os nossos tribunais, "verbis": "Separação judicial. Bem adquirido por herança durante separação de fato. Partilha descabida. Conforme pacífico entendimento deste tribunal, não se comunica o imóvel adquirido pelo separando quando as partes já estavam separadas de fato. Precedentes. Apelação desprovida" (TJRS, 8ª Câm. Cív., ApCív 70011302965, rel. José Ataídes Siqueira Trindade, j. 05.05.2005). - Ante o exposto, conhece-se do presente recurso, para dar-lhe provimento e reformar a decisão de primeiro grau, determinando-se que seja excluído da partilha o imóvel situado à travessa BBB, bem como suas respectivas benfeitorias, que em conjunto pertencem unicamente à apelante. - É como voto. Ac. de 20-03-2007 Revista dos Tribunais. Setembro, 2007. Ano 96. Vol. 863. Pág. 298 Arquivo do EMFOR, TJMA/N 7033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bem foi adquirido por esforço próprio da mulher, sem a participação do marido, quando as partes estavam separadas de fato, é de ser excluído da partilha.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2026-10-26T03:40:22.826Z</dcterms:created>
  <dcterms:modified xsi:type="dcterms:W3CDTF">2026-10-26T03:40:22.826Z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