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C/C REPET DE INDÉBITO</w:t>
      </w:r>
    </w:p>
    <w:p/>
    <w:p>
      <w:r>
        <w:rPr>
          <w:b/>
          <w:bCs/>
        </w:rPr>
        <w:t xml:space="preserve">Recurso: </w:t>
      </w:r>
      <w:r>
        <w:t xml:space="preserve">REsp 4.753-</w:t>
      </w:r>
    </w:p>
    <w:p/>
    <w:p>
      <w:r>
        <w:t xml:space="preserve">DENUNCIAÇÃO DO SERVIDOR PÚBLICO —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ao considerar inadmissível, no caso, a denunciação da lide, o acórdão impugnado, ao que penso, contrariou o art. 70, inc. III, do Código de Processo Civil, já que o denunciado está obrigado a indenizar (art. 107, parágrafo único, da CF/67, art. 37, § 6º, da CF/88) a denunciante se esta perder a demanda". - Hipótese semelhante foi decidida nesta Eg. Turma no REsp nº 4.753-SP, relator o em. Ministro VICENTE CERNICCHIARO, estando o acórdão, publicado no DJ de 29-9-1990, assim ementado: "Recurso Especial responde pelos prejuízos que seus servidores causarem a terceiro, segundo a responsabilidade objetivo-administrativa. Terá, por sua vez, direito à ação de regresso, caso o funcionário haja atuado com dolo ou culpa. Na denunciação da lide, ação incidental, os fundamentos das demandas devem ser os mesmos. Cumpre, porém, atender a finalidade do instituto, isto é, a celeridade processual. O princípio incide também na espécie. O exame do caso concreto dirá da conveniência do deferimento. Conclusão que se harmoniza considerado o caráter instrumental do processo." - Do exposto, dou provimento ao recurso. Ac. de 05-10-1992 VENCIDO O MINISTRO PEÇANHA MARTINS Rev. do Sup. Tribunal de Justiça - Dezembro de 1992 - Nº 40 - Pág. 285 EMFOR 539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Admissível a denunciação da lide, na hipótese, ao servidor público, pela Fazenda Pública, demandada por ato daquele.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2026-10-26T05:57:54.204Z</dcterms:created>
  <dcterms:modified xsi:type="dcterms:W3CDTF">2026-10-26T05:57:54.204Z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