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ANÔNIMA</w:t>
      </w:r>
    </w:p>
    <w:p>
      <w:r>
        <w:rPr>
          <w:i/>
          <w:iCs/>
          <w:color w:val="666666"/>
        </w:rPr>
        <w:t xml:space="preserve">RESPONSABILIDADE DOS DIRETORES</w:t>
      </w:r>
    </w:p>
    <w:p/>
    <w:p/>
    <w:p>
      <w:r>
        <w:t xml:space="preserve">02. LEI DAS SOCIEDADES ANÔNIMAS</w:t>
      </w:r>
    </w:p>
    <w:p/>
    <w:p>
      <w:pPr>
        <w:pStyle w:val="Heading2"/>
      </w:pPr>
      <w:r>
        <w:rPr>
          <w:b/>
          <w:bCs/>
        </w:rPr>
        <w:t xml:space="preserve">Ementa</w:t>
      </w:r>
    </w:p>
    <w:p>
      <w:r>
        <w:t xml:space="preserve">SEÇÃO VI Propriedade e Circulação Indivisibilidade Art. 28. A ação é indivisível em relação à companhia. Parágrafo único. Quando a ação pertencer a mais de uma pessoa, os direitos por ela conferidos serão exercidos pelo representante do condomínio. Negociabilidade Art. 29. As ações da companhia aberta somente poderão ser negociadas depois de realizados 30% (trinta por cento) do preço de emissão. Parágrafo único. A infração do disposto neste artigo importa na nulidade do ato. Negociação com as Próprias Ações Art. 30. A companhia não poderá negociar com as próprias ações. § 1º Nessa proibição não se compreendem: a) as operações de resgate, reembolso ou amortização previstas em lei; b) a aquisição, para permanência em tesouraria ou cancelamento, desde que até o valor do saldo de lucros ou reservas, exceto a legal, e sem diminuição do capital social, ou por doação; c) a alienação das ações adquiridas nos termos da alínea b e mantidas em tesouraria; d) a compra quando, resolvida a redução do capital mediante restituição, em dinheiro, de parte do valor das ações, o preço destas em bolsa for inferior ou igual à importância que deve ser restituída. § 2º A aquisição das próprias ações pela companhia aberta obedecerá, sob pena de nulidade, às normas expedidas pela Comissão de Valores Mobiliários, que poderá subordiná-la à prévia autorização em cada caso. § 3º A companhia não poderá receber em garantia as próprias ações, salvo para assegurar a gestão dos seus administradores. § 4º As ações adquiridas nos termos da alínea b do § 1º, enquanto mantidas em tesouraria, não terão direito a dividendo nem a voto. § 5º No caso da alínea d do § 1º, as ações adquiridas serão retiradas definitivamente de circulação. Ações Nominativas Art. 31. A propriedade das ações nominativas presume-se pela inscrição do nome do acionista no livro de "Registro de Ações Nominativas" ou pelo extrato que seja fornecido pela instituição custodiante, na qualidade de proprietária fiduciária das ações.(Redação dada pela Lei nº 10.303 de 2001) § 1º A transferência das ações nominativas opera-se por termo lavrado no livro de "Transferência de Ações Nominativas", datado e assinado pelo cedente e pelo cessionário, ou seus legítimos representantes. § 2º A transferência das ações nominativas em virtude de transmissão por sucessão universal ou legado, de arrematação, adjudicação ou outro ato judicial, ou por qualquer outro título, somente se fará mediante averbação no livro de "Registro de Ações Nominativas", à vista de documento hábil, que ficará em poder da companhia. § 3º Na transferência das ações nominativas adquiridas em bolsa de valores, o cessionário será representado, independentemente de instrumento de procuração, pela sociedade corretora, ou pela caixa de liquidação da bolsa de valores. Ações Endossáveis Art. 32. (Revogado pela Lei nº 8.021 de 1990) Ações ao Portador Art. 33. (Revogado pela Lei nº 8.021 de 1990) Ações Escriturais Art. 34. O estatuto da companhia pode autorizar ou estabelecer que todas as ações da companhia, ou uma ou mais classes delas, sejam mantidas em contas de depósito, em nome de seus titulares, na instituição que designar, sem emissão de certificados. § 1º No caso de alteração estatutária, a conversão em ação escritural depende da apresentação e do cancelamento do respectivo certificado em circulação. § 2º Somente as instituições financeiras autorizadas pela Comissão de Valores Mobiliários podem manter serviços de ações escriturais. § 3º A companhia responde pelas perdas e danos causados aos interessados por erros ou irregularidades no serviço de ações escriturais, sem prej uízo do eventual direito de regresso contra a instituição depositária. Art. 35. A propriedade da ação escritural presume-se pelo registro na conta de depósito das ações, aberta em nome do acionista nos livros da instituição depositária. § 1º A transferência da ação escritural opera-se pelo lançamento efetuado pela instituição depositária em seus livros, a débito da conta de ações do alienante e a crédito da conta de ações do adquirente, à vista de ordem escrita do alienante, ou de autorização ou ordem judicial, em documento hábil que ficará em poder da instituição. § 2º A instituição depositária fornecerá ao acionista extrato da conta de depósito das ações escriturais, sempre que solicitado, ao término de todo mês em que for movimentada e, ainda que não haja movimentação, ao menos uma vez por ano. § 3º O estatuto pode autorizar a instituição depositária a cobrar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2026-07-28T04:19:06.974Z</dcterms:created>
  <dcterms:modified xsi:type="dcterms:W3CDTF">2026-07-28T04:19:06.974Z</dcterms:modified>
</cp:coreProperties>
</file>

<file path=docProps/custom.xml><?xml version="1.0" encoding="utf-8"?>
<Properties xmlns="http://schemas.openxmlformats.org/officeDocument/2006/custom-properties" xmlns:vt="http://schemas.openxmlformats.org/officeDocument/2006/docPropsVTypes"/>
</file>