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SOCIEDADE ANÔNIMA</w:t>
      </w:r>
    </w:p>
    <w:p>
      <w:r>
        <w:rPr>
          <w:i/>
          <w:iCs/>
          <w:color w:val="666666"/>
        </w:rPr>
        <w:t xml:space="preserve">RESPONSABILIDADE DOS DIRETORES</w:t>
      </w:r>
    </w:p>
    <w:p/>
    <w:p/>
    <w:p>
      <w:r>
        <w:t xml:space="preserve">03. LEI DAS SOCIEDADES ANÔNIMAS</w:t>
      </w:r>
    </w:p>
    <w:p/>
    <w:p>
      <w:pPr>
        <w:pStyle w:val="Heading2"/>
      </w:pPr>
      <w:r>
        <w:rPr>
          <w:b/>
          <w:bCs/>
        </w:rPr>
        <w:t xml:space="preserve">Ementa</w:t>
      </w:r>
    </w:p>
    <w:p>
      <w:r>
        <w:t xml:space="preserve">CAPÍTULO V Debêntures Características Art. 52. A companhia poderá emitir debêntures que conferirão aos seus titulares direito de crédito contra ela, nas condições constantes da escritura de emissão e, se houver, do certificado.(Redação dada pela Lei nº 10.303 de 2001) SEÇÃO I Direito dos Debenturistas Emissões e Séries Art. 53. A companhia poderá efetuar mais de uma emissão de debêntures, e cada emissão pode ser dividida em séries. Parágrafo único. As debêntures da mesma série terão igual valor nominal e conferirão a seus titulares os mesmos direitos. Valor Nominal Art. 54. A debênture terá valor nominal expresso em moeda nacional, salvo nos casos de obrigação que, nos termos da legislação em vigor, possa ter o pagamento estipulado em moeda estrangeira. § 1º A debênture poderá conter cláusula de correção monetária, com base nos coeficientes fixados para correção de títulos da dívida pública, na variação da taxa cambial ou em outros referenciais não expressamente vedados em lei. (Redação dada pela Lei nº 10.303 de 2001) § 2º A escritura de debênture poderá assegurar ao debenturista a opção de escolher receber o pagamento do principal e acessórios, quando do vencimento, amortização ou resgate, em moeda ou em bens avaliados nos termos do art. 8º. (Incluído pela Lei nº 10.303 de 2001) Vencimento, Amortização e Resgate Art. 55. A época do vencimento da debênture deverá constar da escritura de emissão e do certificado, podendo a companhia estipular amortizações parciais de cada série, criar fundos de amortização e reservar-se o direito de resgate antecipado, parcial ou total, dos títulos da mesma série. § 1º A amortização de debêntures da mesma série que não tenham vencimentos anuais distintos, assim como o resgate parcial, deverão ser feitos mediante sorteio ou, se as debêntures estiverem cotadas por preço inferior ao valor nominal, por compra em bolsa. § 2º É facultado à companhia adquirir debêntures de sua emissão, desde que por valor igual ou inferior ao nominal, devendo o fato constar do relatório da administração e das demonstrações financeiras. § 3º A companhia poderá emitir debêntures cujo vencimento somente ocorra nos casos de inadimplemento da obrigação de pagar juros e dissolução da companhia, ou de outras condições previstas no título. Juros e Outros Direitos Art. 56. A debênture poderá assegurar ao seu titular juros, fixos ou variáveis, participação no lucro da companhia e prêmio de reembolso. Conversibilidade em Ações Art. 57. A debênture poderá ser conversível em ações nas condições constantes da escritura de emissão, que especificará: I - as bases da conversão, seja em número de ações em que poderá ser convertida cada debênture, seja como relação entre o valor nominal da debênture e o preço de emissão das ações; II - a espécie e a classe das ações em que poderá ser convertida; III - o prazo ou época para o exercício do direito à conversão; IV - as demais condições a que a conversão acaso fique sujeita. § 1º Os acionistas terão direito de preferência para subscrever a emissão de debêntures com cláusula de conversibilidade em ações, observado o disposto nos artigos 171 e 172. § 2º Enquanto puder ser exercido o direito à conversão, dependerá de prévia aprovação dos debenturistas, em assembléia especial, ou de seu agente fiduciário, a alteração do estatuto para: a) mudar o objeto da companhia; b) criar ações preferenciais ou modificar as vantagens das existentes, em prejuízo das ações em que são conversíveis as debêntures. SEÇÃO II Espécies Art. 58. A debênture poderá, conforme dispuser a escritura de emissão, ter garantia real ou garantia flutuante, não gozar de preferência ou ser subordinada aos demais credores da companhia. § 1º A garantia flutuante assegura à debênture privilégio geral sobre o ativo da companhia, mas não impede a negociação dos bens que compõem esse ativo. § 2º As garantias poderão ser constituídas cumulativamente. § 3º As debêntures com garantia flutuante de nova emissão são preferidas pelas de emissão ou emissões anteriores, e a prioridade se estabelece pela data da inscrição da escritura de emissão; mas dentro da mesma emissão, as séries concorrem em igualdade. § 4º A debênture que não gozar de garantia poderá conter cláusula de subordinação aos credores quirografários, preferindo apenas aos acionistas no ativo remanescente, se houver, em caso de liquidação da companhia. § 5º A obrigação de não alienar ou onerar bem imóvel ou outro bem sujeito a registro de propriedade, assumida pela 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2026-07-28T01:43:25.446Z</dcterms:created>
  <dcterms:modified xsi:type="dcterms:W3CDTF">2026-07-28T01:43:25.446Z</dcterms:modified>
</cp:coreProperties>
</file>

<file path=docProps/custom.xml><?xml version="1.0" encoding="utf-8"?>
<Properties xmlns="http://schemas.openxmlformats.org/officeDocument/2006/custom-properties" xmlns:vt="http://schemas.openxmlformats.org/officeDocument/2006/docPropsVTypes"/>
</file>