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ANÔNIMA</w:t>
      </w:r>
    </w:p>
    <w:p>
      <w:r>
        <w:rPr>
          <w:i/>
          <w:iCs/>
          <w:color w:val="666666"/>
        </w:rPr>
        <w:t xml:space="preserve">RESPONSABILIDADE DOS DIRETORES</w:t>
      </w:r>
    </w:p>
    <w:p/>
    <w:p/>
    <w:p>
      <w:r>
        <w:t xml:space="preserve">05. LEI DAS SOCIEDADES ANÔNIMAS</w:t>
      </w:r>
    </w:p>
    <w:p/>
    <w:p>
      <w:pPr>
        <w:pStyle w:val="Heading2"/>
      </w:pPr>
      <w:r>
        <w:rPr>
          <w:b/>
          <w:bCs/>
        </w:rPr>
        <w:t xml:space="preserve">Ementa</w:t>
      </w:r>
    </w:p>
    <w:p>
      <w:r>
        <w:t xml:space="preserve">CAPÍTULO X Acionistas SEÇÃO I Obrigação de Realizar o Capital Condições e Mora Art. 106. O acionista é obrigado a realizar, nas condições previstas no estatuto ou no boletim de subscrição, a prestação correspondente às ações subscritas ou adquiridas. § 1° Se o estatuto e o boletim forem omissos quanto ao montante da prestação e ao prazo ou data do pagamento, caberá aos órgãos da administração efetuar chamada, mediante avisos publicados na imprensa, por 3 (três) vezes, no mínimo, fixando prazo, não inferior a 30 (trinta) dias, para o pagamento. § 2° O acionista que não fizer o pagamento nas condições previstas no estatuto ou boletim, ou na chamada, ficará de pleno direito constituído em mora, sujeitando-se ao pagamento dos juros, da correção monetária e da multa que o estatuto determinar, esta não superior a 10% (dez por cento) do valor da prestação. Acionista Remisso Art. 107. Verificada a mora do acionista, a companhia pode, à sua escolha: I - promover contra o acionista, e os que com ele forem solidariamente responsáveis (artigo 108), processo de execução para cobrar as importâncias devidas, servindo o boletim de subscrição e o aviso de chamada como título extrajudicial nos termos do Código de Processo Civil; ou II - mandar vender as ações em bolsa de valores, por conta e risco do acionista. § 1º Será havida como não escrita, relativamente à companhia, qualquer estipulação do estatuto ou do boletim de subscrição que exclua ou limite o exercício da opção prevista neste artigo, mas o subscritor de boa-fé terá ação, contra os responsáveis pela estipulação, para haver perdas e danos sofridos, sem prejuízo da responsabilidade penal que no caso couber. § 2º A venda será feita em leilão especial na bolsa de valores do lugar da sede social, ou, se não houver, na mais próxima, depois de publicado aviso, por 3 (três) ve zes, com antecedência mínima de 3 (três) dias. Do produto da venda serão deduzidos as despesas com a operação e, se previstos no estatuto, os juros, correção monetária e multa, ficando o saldo à disposição do ex-acionista, na sede da sociedade. § 3º É facultado à companhia, mesmo após iniciada a cobrança judicial, mandar vender a ação em bolsa de valores; a companhia poderá também promover a cobrança judicial se as ações oferecidas em bolsa não encontrarem tomador, ou se o preço apurado não bastar para pagar os débitos do acionista. § 4º Se a companhia não conseguir, por qualquer dos meios previstos neste artigo, a integralização das ações, poderá declará-las caducas e fazer suas as entradas realizadas, integralizando-as com lucros ou reservas, exceto a legal; se não tiver lucros e reservas suficientes, terá o prazo de 1 (um) ano para colocar as ações caídas em comisso, findo o qual, não tendo sido encontrado comprador, a assembléia-geral deliberará sobre a redução do capital em importância correspondente. Responsabilidade dos Alienantes Art. 108. Ainda quando negociadas as ações, os alienantes continuarão responsáveis, solidariamente com os adquirentes, pelo pagamento das prestações que faltarem para integralizar as ações transferidas. Parágrafo único. Tal responsabilidade cessará, em relação a cada alienante, no fim de 2 (dois) anos a contar da data da transferência das ações. SEÇÃO II Direitos Essenciais Art. 109. Nem o estatuto social nem a assembléia-geral poderão privar o acionista dos direitos de: I - participar dos lucros sociais; II - participar do acervo da companhia, em caso de liquidação; III - fiscalizar, na forma prevista nesta Lei, a gestão dos negócios sociais; IV - preferência para a subscrição de ações, partes beneficiárias conversíveis em ações, debêntures conversíveis em ações e bônus de subscrição, observado o disposto nos artigos 171 e 172; V - retirar-se da sociedade nos casos previstos nesta Lei. § 1º As ações de cada classe conferirão iguais direitos aos seus titulares. § 2º Os meios, processos ou ações que a lei confere ao acionista para assegurar os seus direitos não podem ser elididos pelo estatuto ou pela assembléia-geral. § 3º O estatuto da sociedade pode estabelecer que as divergências entre os acionistas e a companhia, ou entre os acionistas controladores e os acionistas minoritários, poderão ser solucionadas mediante arbitragem, nos termos em que especificar.(Incluído pela Lei nº 10.303 de 2001) SEÇÃO III Direito de Voto Disposições Gerais Art. 110. A cada ação ordinária corresponde 1 (um) voto nas deliberações da assembléia-geral. § 1º O estatuto pode estabelecer limitação ao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2026-07-28T00:01:39.524Z</dcterms:created>
  <dcterms:modified xsi:type="dcterms:W3CDTF">2026-07-28T00:01:39.524Z</dcterms:modified>
</cp:coreProperties>
</file>

<file path=docProps/custom.xml><?xml version="1.0" encoding="utf-8"?>
<Properties xmlns="http://schemas.openxmlformats.org/officeDocument/2006/custom-properties" xmlns:vt="http://schemas.openxmlformats.org/officeDocument/2006/docPropsVTypes"/>
</file>