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ANÔNIMA</w:t>
      </w:r>
    </w:p>
    <w:p>
      <w:r>
        <w:rPr>
          <w:i/>
          <w:iCs/>
          <w:color w:val="666666"/>
        </w:rPr>
        <w:t xml:space="preserve">RESPONSABILIDADE DOS DIRETORES</w:t>
      </w:r>
    </w:p>
    <w:p/>
    <w:p/>
    <w:p>
      <w:r>
        <w:t xml:space="preserve">06. LEI DAS SOCIEDADES ANÔNIMAS</w:t>
      </w:r>
    </w:p>
    <w:p/>
    <w:p>
      <w:pPr>
        <w:pStyle w:val="Heading2"/>
      </w:pPr>
      <w:r>
        <w:rPr>
          <w:b/>
          <w:bCs/>
        </w:rPr>
        <w:t xml:space="preserve">Ementa</w:t>
      </w:r>
    </w:p>
    <w:p>
      <w:r>
        <w:t xml:space="preserve">CAPÍTULO XI Assembléia-Geral SEÇÃO I Disposições Gerais Art. 121. A assembléia-geral, convocada e instalada de acordo com a lei e o estatuto, tem poderes para decidir todos os negócios relativos ao objeto da companhia e tomar as resoluções que julgar convenientes à sua defesa e desenvolvimento. Competência Privativa Art. 122. Compete privativamente à assembléia-geral:(Redação dada pela Lei nº 10.303 de 2001) I - reformar o estatuto social;(Redação dada pela Lei nº 10.303 de 2001) II - eleger ou destituir, a qualquer tempo, os administradores e fiscais da companhia, ressalvado o disposto no inciso II do art. 142;(Redação dada pela Lei nº 10.303 de 2001) III - tomar, anualmente, as contas dos administradores e deliberar sobre as demonstrações financeiras por eles apresentadas;(Redação dada pela Lei nº 10.303 de 2001) IV - autorizar a emissão de debêntures, ressalvado o disposto no § 1º do art. 59;(Redação dada pela Lei nº 10.303 de 2001) V - suspender o exercício dos direitos do acionista (art. 120);(Redação dada pela Lei nº 10.303 de 2001) VI - deliberar sobre a avaliação de bens com que o acionista concorrer para a formação do capital social;(Redação dada pela Lei nº 10.303 de 2001) VII - autorizar a emissão de partes beneficiárias;(Redação dada pela Lei nº 10.303 de 2001) VIII - deliberar sobre transformação, fusão, incorporação e cisão da companhia, sua dissolução e liquidação, eleger e destituir liquidantes e julgar-lhes as contas; e (Redação dada pela Lei nº 10.303 de 2001) IX - autorizar os administradores a confessar falência e pedir concordata.(Redação dada pela Lei nº 10.303 de 2001) Parágrafo único. Em caso de urgência, a confissão de falência ou o pedido de concordata poderá ser formulado pelos administradores, com a concordância do acionista controlador, se houver, con vocando-se imediatamente a assembléia-geral, para manifestar-se sobre a matéria.(Redação dada pela Lei nº 10.303 de 2001) Competência para Convocação Art. 123. Compete ao conselho de administração, se houver, ou aos diretores, observado o disposto no estatuto, convocar a assembléia-geral. Parágrafo único. A assembléia-geral pode também ser convocada: a) pelo conselho fiscal, nos casos previstos no número V, do artigo 163; b) por qualquer acionista, quando os administradores retardarem, por mais de 60 (sessenta) dias, a convocação nos casos previstos em lei ou no estatuto; c) por acionistas que representem cinco por cento, no mínimo, do capital social, quando os administradores não atenderem, no prazo de oito dias, a pedido de convocação que apresentarem, devidamente fundamentado, com indicação das matérias a serem tratadas; (Redação dada pela Lei nº 9.457 de 1997) d) por acionistas que representem cinco por cento, no mínimo, do capital votante, ou cinco por cento, no mínimo, dos acionistas sem direito a voto, quando os administradores não atenderem, no prazo de oito dias, a pedido de convocação de assembléia para instalação do conselho fiscal. (Incluída pela Lei nº 9.457 de 1997) Modo de Convocação e Local Art. 124. A convocação far-se-á mediante anúncio publicado por 3 (três) vezes, no mínimo, contendo, além do local, data e hora da assembléia, a ordem do dia, e, no caso de reforma do estatuto, a indicação da matéria. § 1º A primeira convocação da assembléia-geral deverá ser feita: (Redação da pela Lei nº 10.303 de 2001) I - na companhia fechada, com 8 (oito) dias de antecedência, no mínimo, contado o prazo da publicação do primeiro anúncio; não se realizando a assembléia, será publicado novo anúncio, de segunda convocação, com antecedência mínima de 5 (cinco) dias; (Incluído pela Lei nº 10.303 de 2001) II - na companhia aberta, o prazo de antecedência da primeira convocação será de 15 (quinze) dias e o da segunda convocação de 8 (oito) dias. (Incluído pela Lei nº 10.303 de 2001) § 2° Salvo motivo de força maior, a assembléia-geral realizar-se-á no edifício onde a companhia tiver a sede; quando houver de efetuar-se em outro, os anúncios indicarão, com clareza, o lugar da reunião, que em nenhum caso poderá realizar-se fora da localidade da sede. § 3º Nas companhias fechadas, o acionista que representar 5% (cinco por cento), ou mais, do capital social, será convocado por telegrama ou carta registrada, expedidos com a antecedência prevista no § 1º, desde que o tenha solicitado, por escrito, à companhia, com a indicação do endereço completo e do prazo de vigência do pedido, não superior a 2 (dois) exercícios sociais, e renovável; essa convocaçã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2026-07-28T02:30:22.308Z</dcterms:created>
  <dcterms:modified xsi:type="dcterms:W3CDTF">2026-07-28T02:30:22.308Z</dcterms:modified>
</cp:coreProperties>
</file>

<file path=docProps/custom.xml><?xml version="1.0" encoding="utf-8"?>
<Properties xmlns="http://schemas.openxmlformats.org/officeDocument/2006/custom-properties" xmlns:vt="http://schemas.openxmlformats.org/officeDocument/2006/docPropsVTypes"/>
</file>