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TRANSFORMAÇÃO EM ANÔNIMA</w:t>
      </w:r>
    </w:p>
    <w:p/>
    <w:p/>
    <w:p>
      <w:r>
        <w:t xml:space="preserve">13. LEI DAS SOCIEDADES ANÔNIMAS</w:t>
      </w:r>
    </w:p>
    <w:p/>
    <w:p>
      <w:pPr>
        <w:pStyle w:val="Heading2"/>
      </w:pPr>
      <w:r>
        <w:rPr>
          <w:b/>
          <w:bCs/>
        </w:rPr>
        <w:t xml:space="preserve">Ementa</w:t>
      </w:r>
    </w:p>
    <w:p>
      <w:r>
        <w:t xml:space="preserve">CAPÍTULO XXIII Sociedades em Comandita por Ações Art. 280. A sociedade em comandita por ações terá o capital dividido em ações e reger-se-á pelas normas relativas às companhias ou sociedades anônimas, sem prejuízo das modificações constantes deste Capítulo. Art. 281. A sociedade poderá comerciar sob firma ou razão social, da qual só farão parte os nomes dos sócios-diretores ou gerentes. Ficam ilimitada e solidariamente responsáveis, nos termos desta Lei, pelas obrigações sociais, os que, por seus nomes, figurarem na firma ou razão social. Parágrafo único. A denominação ou a firma deve ser seguida das palavras "Comandita por Ações", por extenso ou abreviadamente. Art. 282. Apenas o sócio ou acionista tem qualidade para administrar ou gerir a sociedade, e, como diretor ou gerente, responde, subsidiária mas ilimitada e solidariamente, pelas obrigações da sociedade. § 1º Os diretores ou gerentes serão nomeados, sem limitação de tempo, no estatuto da sociedade, e somente poderão ser destituídos por deliberação de acionistas que representem 2/3 (dois terços), no mínimo, do capital social. § 2º O diretor ou gerente que for destituído ou se exonerar continuará responsável pelas obrigações sociais contraídas sob sua administração. Art. 283. A assembléia-geral não pode, sem o consentimento dos diretores ou gerentes, mudar o objeto essencial da sociedade, prorrogar-lhe o prazo de duração, aumentar ou diminuir o capital social, emitir debêntures ou criar partes beneficiárias nem aprovar a participação em grupo de sociedade. (Redação dada pela Lei nº 9.457 de 1997) Art. 284. Não se aplica à sociedade em comandita por ações o disposto nesta Lei sobre conselho de administração, autorização estatutária de aumento de capital e emissão de bônus de subscrição. CAPÍTULO XXIV Prazos de Prescrição Art. 285. A ação para anular a constituição da companhia, por vício ou defeito, prescreve em 1 (um) ano, contado da publicação dos atos constitutivos. Parágrafo único. Ainda depois de proposta a ação, é lícito à companhia, por deliberação da assembléia-geral, providenciar para que seja sanado o vício ou defeito. Art. 286. A ação para anular as deliberações tomadas em assembléia-geral ou especial, irregularmente convocada ou instalada, violadoras da lei ou do estatuto, ou eivadas de erro, dolo, fraude ou simulação, prescreve em 2 (dois) anos, contados da deliberação. Art. 287. Prescreve: I - em, 1 (um) ano: a) a ação contra peritos e subscritores do capital, para deles haver reparação civil pela avaliação de bens, contado o prazo da publicação da ata da assembléia-geral que aprovar o laudo; b) a ação dos credores não pagos contra os acionistas e os liquidantes, contado o prazo da publicação da ata de encerramento da liquidação da companhia. II - em 3 (três) anos: a) a ação para haver dividendos, contado o prazo da data em que tenham sido postos à disposição do acionista; b) a ação contra os fundadores, acionistas, administradores, liquidantes, fiscais ou sociedade de comando, para deles haver reparação civil por atos culposos ou dolosos, no caso de violação da lei, do estatuto ou da convenção de grupo, contado o prazo: 1 - para os fundadores, da data da publicação dos atos constitutivos da companhia; 2 - para os acionistas, administradores, fiscais e sociedades de comando, da data da publicação da ata que aprovar o balanço referente ao exercício em que a violação tenha ocorrido; 3 - para os liquidantes, da data da publicação da ata da primeira assembléia-geral posterior à violação. c) a ação contra acionistas para restituição de dividendos recebidos de má-fé, contado o prazo da data da publicação da ata da assembléia-geral ordinária do exercício em que os dividen dos tenham sido declarados; d) a ação contra os administradores ou titulares de partes beneficiárias para restituição das participações no lucro recebidas de má-fé, contado o prazo da data da publicação da ata da assembléia-geral ordinária do exercício em que as participações tenham sido pagas; e) a ação contra o agente fiduciário de debenturistas ou titulares de partes beneficiárias para dele haver reparação civil por atos culposos ou dolosos, no caso de violação da lei ou da escritura de emissão, a contar da publicação da ata da assembléia-geral que tiver tomado conhecimento da violação; f) a ação contra o violador do dever de sigilo de que trata o artigo 260 para dele haver reparação civil, a contar da data da publicação da oferta. g) a ação movida pelo acionista contra a companhia,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2026-06-17T16:45:29.366Z</dcterms:created>
  <dcterms:modified xsi:type="dcterms:W3CDTF">2026-06-17T16:45:29.366Z</dcterms:modified>
</cp:coreProperties>
</file>

<file path=docProps/custom.xml><?xml version="1.0" encoding="utf-8"?>
<Properties xmlns="http://schemas.openxmlformats.org/officeDocument/2006/custom-properties" xmlns:vt="http://schemas.openxmlformats.org/officeDocument/2006/docPropsVTypes"/>
</file>