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Apelação Cível 1.0024.05.709298-3/001</w:t>
      </w:r>
    </w:p>
    <w:p/>
    <w:p>
      <w:r>
        <w:t xml:space="preserve">PATRONÍMICO — RETIFICAÇÃO DO NOME DA MÃE APÓS DIVÓRCIO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art. 109 da Lei nº 6.015/1973 (Lei dos Registros Públicos) que: "Quem pretender que se restaure, supra ou retifique assentamento no registro civil, requererá, em petição fundamentada e instruída com documentos ou com indicação de testemunhas, que o juiz o ordene, ouvido o órgão do Ministério Público e os interessados, no prazo de cinco dias, que correrá em cartório." - O referido dispositivo legal, ao utilizar os termos "restaurar", "suprir" e "retificar" permite a correção do registro civil, restritivamente, nas situações em que se verifique a existência de omissão ou de erro material, ou ainda quando alguma irregularidade necessite ser suprida ou sanada. - O art. 54, item 7º, da referida Lei 6.015/1973 prevê, ainda, que: "Art. 54 - O assento do nascimento deverá conter: (omissis); 7º) os nomes e prenomes, a naturalidade, a profissão dos pais, o lugar e cartório onde se casaram, a idade da genitora, do registrando em anos completos, na ocasião do parto, e o domicílio ou residência do casal;". - No caso em julgamento, a pretensão da apelante cinge-se na alteração em seu registro de nascimento do nome da genitora, ao argumento de que esta, após o divórcio, não usa mais o patronímico Vieira, ressaltando que contraiu novas núpcias, passando a assinar Márcia Aparecida de Lima Oliveira. - Como já exposto, a retificação do assento de nascimento restringe-se aos casos de omissão ou erro material, não podendo ser utilizada para simples adequação do nome da genit ora, que à época do nascimento da requerente se encontrava, regularmente, casada com o Sr. M. V.. - Ademais, não vislumbro, no caso em questão, o constrangimento alegado pela apelante, tendo em vista que não é plausível que as pessoas investiguem nos registros civis de nascimento os nomes e patronímicos dos genitores ou sequer realizem comparações a respeito destes. - Por derradeiro, é forçoso reconhecer que a retificação do registro civil de nascimento do filho à situação real e atual da sua genitora ofende aos princípios da contemporaneidade e da verdade real, instaurando, ainda, a instabilidade registral. - Destarte, entendo que os dados constantes do registro civil devem sempre exprimir a verdade real, principalmente aquela existente no momento da lavratura do respectivo assento de nascimento, rogando vênia àqueles que entendem que é possível a retificação como no caso em debate, conforme julgados deste Tribunal, inclusive desta egrégia Câmara. - Por outro lado, corroboram o meu entendimento as seguintes decisões deste Tribunal: "AÇÃO DE RETIFICAÇÃO DE REGISTRO CIVIL - ALTERAÇÃO DA CERTIDÃO DE NASCIMENTO - NOME DE SOLTEIRA DA MÃE APÓS A SEPARAÇÃO CONSENSUAL DOS PAIS CONVERTIDA EM DIVÓRCIO. De acordo com a Lei 6.015/73, os dados constantes da certidão de nascimento, devem ser os relativos à época do parto, não se justificando a alteração do patronímico da mãe da menor, em decorrência da separação convertida em divórcio ocorrida posteriormente ao nascimento da criança." (8ª Câmara Cível, Apelação Cível nº 1.0024.05.709298-3/001, Relatora Desembargadora Teresa Cristina Da Cunha Peixoto, j. 20/10/2005); "EMBARGOS INFRINGENTES - REGISTRO DE NASCIMENTO - NOME DOS PAIS - ÉPOCA DO PARTO - LEI Nº 6.015/73 (§ 7º do art. 54). Os nomes dos pais, no assento de nascimento de filho, devem corresponder àquele da época do parto. Assim, se casados, não pode o filho, em decorrência da extinção da sociedade conjuga l e da mãe voltar a usar o nome de solteira, querer alterá-lo, para que nele a mãe passe a figurar com o nome de solteira. Inteligência do § 7º do art. 54 da Lei nº 6.015/73. Embargos infringentes rejeitados." (2ª Câmara Cível, Embargos Infringentes n° 1.0145.04.179834-2/003, Relator Desembargador Nilson Reis, j. 30/05/2006); "RETIFICAÇÃO DE REGISTRO CIVIL - MUDANÇA DO NOME DA MÃE EM RAZÃO DO DIVÓRCIO - PEDIDO DE ALTERAÇÃO NO REGISTRO DE NASCIMENTO DA FILHA - IMPOSSIBILIDADE." (4ª Câmara Cível, Apelação Cível nº 1.0024.05.752002-5/001, Relator Desembargador Audebert Delage, j. 02/02/2006). - Com essas considerações, NEGO PROVIMENTO ao recurso, mantendo íntegra a r. sentença hostilizada. Ac. de 14-11-2006 DJ de 19-12-2006 Jurisprudência Mineira. Ano 57. v.179. Outubro a Dezembro de 2006. Pág. 67 EMENTÁRIO FORENSE. Fevereiro, 2008. Ano LX. Nº 711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dados constantes no registro civil devem sempre exprimir a verdade real, principalmente, aquela existente no momento da lavratura do respectivo assento de nascimento, não sendo possível a retificação do nome da genitora pelo simples fato de esta passar a usar o nome de solteira por ocasião do divórcio, sob pena de afronta aos princípios da contemporaneidade e da verdade real.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2026-10-26T02:38:00.902Z</dcterms:created>
  <dcterms:modified xsi:type="dcterms:W3CDTF">2026-10-26T02:38:00.902Z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