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NANCY ANDRIGHI</w:t>
      </w:r>
    </w:p>
    <w:p/>
    <w:p>
      <w:r>
        <w:t xml:space="preserve">AVALISTA — QUANDO NÃO TEM LEGITIMIDADE PARA FIGURAR NO PÓLO PASSIVO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À cédula de crédito industrial aplicam-se as normas de direito cambial, conforme expressamente prevê o Decreto nº 413/69 (art. 52). - Conforme citado pelo apelante, embora já tenha decidido que a prescrição da ação cambiária não inviabiliza o ajuizamento da ação monitória contra o avalista, revendo minha posição, venho reconsiderá-la a fim de adequar a prestação jurisdicional reclamada ao entendimento hoje pacífico no Superior Tribunal de Justiça, no sentido de que, superada a obrigação cambiária pela prescrição, o título deixa de ser cambial e, conseqüentemente, o aval extingue-se. Inexistente a garantia, permanece responsável apenas o devedor principal, salvo se provado que os demais obrigados no título se beneficiaram da dívida. "DIREITO COMERCIAL E PROCESSUAL CIVIL. AGRAVO NO AGRAVO DE INSTRUMENTO. EMBARGOS À AÇÃO MONITÓRIA. NOTA PROMISSÓRIA PRESCRITA. PROPOSITURA DE AÇÃO CONTRA O AVALISTA. NECESSIDADE DE SE DEMONSTRAR O LOCUPLETAMENTO. PRECEDENTES. - Prescrita a ação cambial, desaparece a abstração das relações jurídicas cambiais firmadas, devendo o beneficiário do título demonstrar, como causa de pedir na ação própria, o locupletamento ilícito, seja do emitente ou endossante, seja do avalista" (AgRg no Ag 549924/MG, Rel. Min. NANCY ANDRIGHI, DJ de 05.04.2004). - A propósito, anoto que o colendo STJ vem proferindo decisões monocráticas a respeito da controvérsia instaurada nos autos: Ag 750229/SP, Rel. Min. HUMBERTO GOMES DE BARROS, DJ de 05.05.2006 // REsp 364513/DF, Rel. Min. CASTRO FILHO, DJ de 22.11.2005 // Ag 653013/GO, Rel. Min. ALDIR PASSARINHO JUNIOR, DJ 08.06.2005. - O aval é garantia tipicamente cambiariforme, produzindo efeitos enquanto a cártula mantiver suas características como títu lo de crédito. Assim, realmente, ao perder essa característica, não se deve interpretar de forma ampla a vontade do avalista para torná-lo devedor solidário da obrigação subsistente. De fato, conforme o entendimento jurisprudencial atual, permanece responsável pelo débito apenas o devedor principal, salvo se demonstrado que o avalista se locupletou com a dívida. - Mas, esta causa jurídica vinculativa não se faz presente nos autos, pois sequer alegada pelo credor, razão pela qual correta a sentença proferida pelo culto e operoso Juiz, Dr. Saulo Versiani Penna. Ac. de 12-12-2006 DJ de 02-02-2007 Jurisprudência Mineira. Ano 57. v.179. Outubro a Dezembro de 2006. Pág. 77 EMENTÁRIO FORENSE. Fevereiro, 2008. Ano LX. Nº 711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avalista não detém legitimidade para figurar no pólo passivo de ação monitória embasada em título de crédito prescrito, salvo quando se beneficiou com a dívida.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2026-10-26T02:41:29.784Z</dcterms:created>
  <dcterms:modified xsi:type="dcterms:W3CDTF">2026-10-26T02:41:29.784Z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