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DE AUTARQUIA</w:t>
      </w:r>
    </w:p>
    <w:p>
      <w:r>
        <w:rPr>
          <w:i/>
          <w:iCs/>
          <w:color w:val="666666"/>
        </w:rPr>
        <w:t xml:space="preserve">CARGO DE CARÁTER PERMANENTE</w:t>
      </w:r>
    </w:p>
    <w:p/>
    <w:p>
      <w:r>
        <w:rPr>
          <w:b/>
          <w:bCs/>
        </w:rPr>
        <w:t xml:space="preserve">Recurso: </w:t>
      </w:r>
      <w:r>
        <w:t xml:space="preserve">MS 10.837</w:t>
      </w:r>
    </w:p>
    <w:p/>
    <w:p>
      <w:r>
        <w:t xml:space="preserve">PRESENÇA DO ADVOGADO —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obrigatória a presença de advogado em todas as fases do processo administrativo disciplinar. Referência Legislativa: - Art. 153, art. 163 e art. 164 da Lei 8.112/1990 - RJU-90 - Regime Jurídico dos Servidores Públicos Civis da União Precedentes: MS 10.837 DF 2005/0120158-6 DECISÃO: 28-06-2006 DJ DATA: 13-11-2006 PG: 221 ROMS 20.148 PE 2005/0096183-2 DECISÃO: 07-03-2006 DJ DATA: 27-03-2006 PG: 304 MS 10.565 DF 2005/0060850-9 DECISÃO: 08-02-2006 DJ DATA: 13-03-2006 PG: 178 MS 9.201 DF 2003/0136179-2 DECISÃO: 08-09-2004 DJ DATA: 18-10-2004 PG: 186 MS 7.078 DF 2000/0065864-2 DECISÃO: 22-10-2003 DJ DATA: 09-12-2003 PG: 206 Data do Julgamento: 12-09-2007 DJ de 21-09-2007, pág. 334 EMENTÁRIO FORENSE. Outubro, 2007. Ano LX. Nº 707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2026-09-10T23:17:16.258Z</dcterms:created>
  <dcterms:modified xsi:type="dcterms:W3CDTF">2026-09-10T23:17:16.258Z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