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DE AUTARQUIA</w:t>
      </w:r>
    </w:p>
    <w:p>
      <w:r>
        <w:rPr>
          <w:i/>
          <w:iCs/>
          <w:color w:val="666666"/>
        </w:rPr>
        <w:t xml:space="preserve">CARGO DE CARÁTER PERMANENTE</w:t>
      </w:r>
    </w:p>
    <w:p/>
    <w:p>
      <w:r>
        <w:rPr>
          <w:b/>
          <w:bCs/>
        </w:rPr>
        <w:t xml:space="preserve">Recurso: </w:t>
      </w:r>
      <w:r>
        <w:t xml:space="preserve">RESP 657.476</w:t>
      </w:r>
    </w:p>
    <w:p/>
    <w:p>
      <w:r>
        <w:t xml:space="preserve">LIQUIDAÇÃO DE FORMA DIVERSA DA ESTABELECIDA — QUANDO NÃO OCORRE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liquidação por forma diversa estabelecida na sentença não ofende a coisa julgada. Referência Legislativa: - Art. 604 e art. 606, inciso 2 da Lei 5.869/73 - Código de Processo Civil de 1973 Precedentes: RESP 657.476 MS 2004/0102124-4 DECISÃO: 18-05-2006 DJ DATA: 12-06-2006 PG: 475 RESP 693.475 RJ 2004/0143620-0 DECISÃO: 13-09-2005 DJ DATA: 26-09-2005 PG: 229 RCL 985 BA 2001/0098576-0 DECISÃO: 11-12-2002 DJ DATA: 01-02-2005 PG: 401 LEXSTJ VOL.: 187 PG: 95 AGA 564.139 MS 2003/0201785-5 DECISÃO: 29-06-2004 DJ DATA: 18-10-2004 PG: 289 RESP 348.129 MA 2001/0112752-8 DECISÃO: 21-02-2002 DJ DATA: 27-05-2002 PG: 177 RESP 3.003 MA 1990/0004240-2 DECISÃO: 06-08-1991 DJ DATA: 09-12-1991 PG: 18033 JBCC VOL.: 167 PG: 239 LEXSTJ VOL.: 34 PG: 79 Data do Julgamento: 07-11-2007 DJ de 28-11-2007, pág. 225 EMENTÁRIO FORENSE. Dezembro, 2007. Ano LX. Nº 709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2026-10-26T02:35:56.869Z</dcterms:created>
  <dcterms:modified xsi:type="dcterms:W3CDTF">2026-10-26T02:35:56.869Z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