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MANDADO DE SEGURANÇA -</w:t>
      </w:r>
    </w:p>
    <w:p>
      <w:r>
        <w:rPr>
          <w:b/>
          <w:bCs/>
        </w:rPr>
        <w:t xml:space="preserve">Tribunal: </w:t>
      </w:r>
      <w:r>
        <w:t xml:space="preserve">STF</w:t>
      </w:r>
    </w:p>
    <w:p/>
    <w:p>
      <w:r>
        <w:t xml:space="preserve">IMPETRAÇÃO POR VEREADOR VISANDO À GARANTIA AO FORNECIMENTO DE INFORMAÇÕES REFERENTES A PROCESSO — ADMISSIBILIDADE</w:t>
      </w:r>
    </w:p>
    <w:p/>
    <w:p>
      <w:pPr>
        <w:pStyle w:val="Heading2"/>
      </w:pPr>
      <w:r>
        <w:rPr>
          <w:b/>
          <w:bCs/>
        </w:rPr>
        <w:t xml:space="preserve">Ementa</w:t>
      </w:r>
    </w:p>
    <w:p>
      <w:r>
        <w:t xml:space="preserve">MANDADO DE SEGURANÇA - Impetração por Vereador visando à garantia ao fornecimento de informações referentes a processo - Admissibilidade - Exercício de fiscalização sobre os atos administrativos facultado a todo e qualquer cidadão - Direito às informações e certidões dos órgãos públicos, de interesse particular ou de interesse coletivo geral, que é garantido pela Lei Maior - Desnecessidade de ser parlamentar municipal para pleitear informações de caráter público - Inteligência do art. 5.º, XXXIII e XXXIV, b, da CF. ACÓRDÃO - Vistos, relatados e discutidos estes autos de ApCív c/ Rev 639.194-5/7-00, da Comarca de São Paulo - Fazenda Pública, em que é apelante Paulo Sérgio Abou Anni sendo apelado Secretário Municipal de Transporte: Acordam, em 7.a Câm. de Direito Público do TJSP, proferir a seguinte decisão: "deram provimento ao recurso, v.u.", de conformidade com o voto do relator, que integra este acórdão. O julgamento teve a participação dos Desembargadores Walter Swensson (pres., s/ voto), Constança Gonzaga e Coimbra Schmidt. São Paulo, 13 de agosto de 2007 - MOACIR PERES, relator. Voto 11.316 - ApCív 639.194.5/7-00 de São Paulo. Apelante: Paulo Sérgio Abou Anni. Apelado: Secretário Municipal de Transporte. Ementa Oficial: Mandado de segurança - Pedido de informações - A Constituição Federal garante o direito às informações e certidões dos órgãos públicos, de interesse particular ou de interesse coletivo geral (art. 5.º, XXXIII e XXXIV, b) - Desnecessidade de ser parlamentar municipal para pleitear informações de caráter público, sendo o exercício de fiscalização sobre os atos administrativos facultado a todo e qualquer cidadão - Segurança denegada. Recurso provido. Paulo Sérgio Abou Anni, inconformado com a r. sentença que denegou a segurança (f.), interpôs recurso de apelação. Diz que os vereadores são competentes para requisitar informações. Cita julgados em seu favor. Alega que não requisitou a exibição de documen tos, mas informações. Afirma que justificou seu pedido de informações. Sustenta que os documentos juntados não se prestam a esclarecer as informações requisitadas. Argumenta que o vereador tem legitimidade para fiscalizar o Executivo, vez que tal ato é uma de suas prerrogativas. Assere que as informações requisitadas versam sobre supostas irregularidades Acrescenta que as informações que pretende versam tão-somente sobre as providências que a Secretaria Municipal de Transporte está adotando para apurar responsabilidades e sanar tais ilegalidades. Daí, pedir a reforma da r. sentença (f.). Com as contra-razões da Municipalidade de São Paulo (f.), subiram os autos. A douta Procuradoria-Geral de Justiça opinou pelo provimento do recurso (f.). É o relatório. Objetiva o impetrante, por meio de mandado de segurança, que a autoridade coatora forneça as informações "relacionadas aos termos aduzidos aos Ofícios 24.º GV 29/2006 e 60/2006, bem como ao Requerimento RDS 0728/2006, garantindo o fiel exercício da função fiscalizadora do impetrante, ora parlamentar" (f.). Assiste razão ao recorrente. Dispõe a Constituição Federal que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 assegurando a todos, "independentemente do pagamento de taxas (...). b) a obtenção de certidões em repartições públicas, para defesa de direitos e esclarecimento de situações de interesse pessoal" (art. 5.º, XXXIII e XXXIV, b). Assim, o direito à informação e certidão está condicionado a que o pedido indique objeto determinado e não esteja acobertado por sigilo legal. Releva notar, neste passo, que o direito à certidão é de natureza instrumental (art. 6.º, par. ún., da Lei 1.533/51 - mandado de segurança, art. 1.º, §§ 4.º a 7.º, da Le i 4.717/65 - ação popular, art. 8.º, § 2.º, da Lei 7.347/85 - ação civil pública, art. 5.º, XXXIII, b, da CF/88, direito de petição de um modo geral, art. 399, I, do CPC - produção de prova documental). A informação, assunto ou documento devem ter relação com a esfera de interesse jurídico da pessoa que o pretende, seja no plano material (direito ou interesse), seja no plano processual (legitimidade para eventual ação - individual ou coletiva), o que reclama, obviamente, fato ou ato específico e determinado a ser informado ou certificado. Verifica-se, no caso, que o apelante apont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2026-07-28T00:19:28.940Z</dcterms:created>
  <dcterms:modified xsi:type="dcterms:W3CDTF">2026-07-28T00:19:28.940Z</dcterms:modified>
</cp:coreProperties>
</file>

<file path=docProps/custom.xml><?xml version="1.0" encoding="utf-8"?>
<Properties xmlns="http://schemas.openxmlformats.org/officeDocument/2006/custom-properties" xmlns:vt="http://schemas.openxmlformats.org/officeDocument/2006/docPropsVTypes"/>
</file>