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TÍTULO EXECUTIVO EXTRAJUDICIAL</w:t>
      </w:r>
    </w:p>
    <w:p>
      <w:r>
        <w:rPr>
          <w:i/>
          <w:iCs/>
          <w:color w:val="666666"/>
        </w:rPr>
        <w:t xml:space="preserve">CONTRATO DE ABERTURA DE CRÉDITO</w:t>
      </w:r>
    </w:p>
    <w:p/>
    <w:p/>
    <w:p>
      <w:r>
        <w:t xml:space="preserve">PORTADOR — COBRANÇA - SUA LEGITIMIDADE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Os títulos postos em execução, cheques nominais devolvidos sem provisão de fundos, além de outros, gerados em novação de dívida e igualmente devolvidos, constituem-se no objeto dos embargos, sob a alegação de ser a demandada parte estranha ao ato negocial, que se traduzia num pacto contratual assinado entre a embargante e a Firma M.A. Comércio e Construções Ltda., visando a perfuração de cinco poços artesianos no Município. - Ocorre que tais títulos foram negociados com a empresa embargada, em nome de J.S.V. e, sócio e administrador desta última, conforme comprovação contida às f. do processo em apenso, e são, como bem posto pelo magistrado singular, fruto "de uma novação, guardando, portanto, inteira independência com o contrato originário entre a embargante e a Empresa M.A., esta completamente estranha à relação creditícia que pariu a presente lide". - É, portanto, o portador dos títulos parte legítima para figurar no pólo ativo da ação de execução, por carência de fundos que os provessem. - .......................... - Não ocorrem a inexigibilidade e iliquidez levantadas em preliminar pelo embargante, vez tratar-se de títulos executivos com crédito líquido, certo e exigível. - Ante o exposto, conhece-se da presente remessa, para negar-lhe provimento e manter, por seus fundamentos, a bem lançada decisão de primeira instância. - É como voto. Ac. de 17-04-2007 Arquivo do EMFOR, TJMA/N 7197 EMENTÁRIO FORENSE. Junho, 2008. Ano LX. Nº 715 jeam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Sendo nominais a pessoa legítima para cobrá-los judicialmente, os cheques apresentados à execução, endossados a terceiro, representam crédito líquido, certo, exigível e exeqüível. - É, portanto, o portador dos títulos parte legítima para figurar no pólo ativo da ação de execução, por carência de fundos que os provessem. (Ementa trecho do acórdão)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2026-10-26T02:42:32.063Z</dcterms:created>
  <dcterms:modified xsi:type="dcterms:W3CDTF">2026-10-26T02:42:32.063Z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