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TJRN</w:t>
      </w:r>
    </w:p>
    <w:p/>
    <w:p>
      <w:r>
        <w:t xml:space="preserve">DANOS MORAL E MATERIAL — QUEDA DE PASSAGEIRA NO INTERIOR DO VEÍCULO - RESPONSABILIDADE OBJETIVA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pretensão fundada em relação de consumo, decorrente de contrato de transporte, em que avulta a cláusula de incolumidade, cujo descumprimento faz emergir o dever de indenizar, nos termos do art. 14 da Lei 8.078/90. - Havendo contrato de transporte, basta a demonstração da condição de passageiro, o fato, o dano e o nexo causal entre ambos. - As excludentes de responsabilidade devem ser demonstradas pelo transportador, ônus do qual não se desincumbiu (art. 333, II, do CPC). - De fato, restou comprovada a condição de passageira da autora pela prova documental acostada à inicial. - De outro turno, a prova testemunhal produzida às f. também corrobora a asserção no tocante àquela condição. - Ademais, a perícia atesta o dano com incapacidade total temporária de 15 dias. - Demonstrados o fato, o dano e o nexo causal entre ambos (laudo pericial às f.), emerge o dever de indenizar. - Passa-se, então, à apreciação das verbas devidas. - A sentença merece reparo no que tange à configuração do dano material. - Com efeito, a autora faz jus à verba relativa ao dano material, já que o laudo pericial concluiu pela incapacidade temporária durante 15 dias. O valor deve ser fixado em metade de um salário mínimo, já que não há comprovação da renda da autora, pouco importando não estar provada aquela. - No tocante ao dano moral, ambos os recursos não merecem acolhimento, eis que o montante arbitrado apresenta-se consentâneo com o princípio da razoabilidade e a gravidade das lesões suportadas. - Por outro lado, descabida a tese recursal que pugnava pela fluência dos juros a partir do evento danoso. Na medida em que há relação contratual entre as partes, contam-se os juros da citação. - Por fim, observa-se que a segunda apelante decaiu de parte mínima de seu pedido, de modo que a primeira apelante deve arcar com a totalidade das custas e honorários, consoante art. 21, par. ún., do CPC. - Ante o exposto, nega-se provimento ao primeiro recurso e dá-se parcial provimento ao segundo, na forma do dispositivo. Ac. de 01-08-2007 DJ de 06-08-2007 Revista dos Tribunais. Nº 866 - Dezembro de 2007 - Ano 96. Pág. 315 EMENTÁRIO FORENSE. Junho, 2008. Ano LX. Nº 715 jeam EMENTA: - A denominada exceção ou objeção de pré-executividade tem sido admitida pela doutrina e jurisprudência, apesar de não prevista em lei, tendo por finalidade afastar execuções infundadas. - Porém, para a procedência da exceção de pré-executividade, exige-se que o excipiente demonstre, de plano, a existência de nulidade a impedir a execução, ou traga questões que possam ser conhecidas de ofício pelo juiz, sem que tal demonstração dependa de dilação probatória. - A controvérsia acerca do requisito da certeza, liquidez e exigibilidade do título executivo, além da alegação do pagamento da dívida é matéria que está a carecer de análise aprofundada e ampla discussão, pois implica o exame das cláusulas e condições formais do contrato. RESUMO DO ACÓRDÃO: - No caso, a decisão recorrida inacolheu a exceção de pré-executividade por entender que encontram-se presentes os requisitos da liquidez, certeza e exigibilidade do título que lastreia a execução. - A denominada exceção ou objeção de pré-executividade tem sido admitida pela doutrina e jurisprudência, apesar de não prevista em lei, tendo por finalidade afastar execuções infundadas. ARAKEN DE ASSIS, Manual da execução, Porto Alegre: Lejur, vol. I, leciona que: "A regra geral é que a defesa do executado se faça através de embargos à execução, que só pode ocorrer após seguro o juízo (art. 737 do CPC); mas, no entanto, verifica-se a permissibilidade contida nos arts. 586, 618, 652, 736 e 737, todos do CPC, de se admitir, por construção doutrinária e pretoriana, mesmo não estando garantida execução, que o executado se insurja contra o despacho inicial, com a defesa que resolveu se denominar de exceção de pré-executividade. Para a procedência da exceção de pré-executividade, exige-se que o excipiente demonstre, de plano, a existência de nulidade a impedir a execução, ou traga questões que possam ser conhecidas de ofício pelo juiz, sem que tal demonstração dependa de di lação probatória". - OLAVO DE OLIVEIRA NETO, A defesa do executado e dos terceiros na execução forçada, São Paulo: RT, 2000, p. 121-122, leciona: "Estará obrigado o executado, porém, a juntar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Responsabilidade civil. Queda de passageira do interior do coletivo, que arrancou na hora do desembarque. Relação de consumo. Contrato de transporte configurado. Responsabilidade objetiva. Descumprimento da cláusula de incolumidade. O rompimento do nexo de causalidade tem de ser provado pelo transportador por constituir fato extintivo do direito do autor. Dano e nexo causal demonstrados. Dano material configurado, haja vista a incapacidade temporária da segunda apelante. Sua fixação. Verba compensatória pelo dano moral consentânea com o princípio da razoabilidade. Juros que fluem a partir da citação, porquanto a responsabilidade é contratual.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2026-10-26T02:24:20.431Z</dcterms:created>
  <dcterms:modified xsi:type="dcterms:W3CDTF">2026-10-26T02:24:20.431Z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