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Apelação 17.459</w:t>
      </w:r>
    </w:p>
    <w:p>
      <w:r>
        <w:rPr>
          <w:b/>
          <w:bCs/>
        </w:rPr>
        <w:t xml:space="preserve">Relator: </w:t>
      </w:r>
      <w:r>
        <w:t xml:space="preserve">WELHINGTON PIMENTEL</w:t>
      </w:r>
    </w:p>
    <w:p/>
    <w:p>
      <w:r>
        <w:t xml:space="preserve">MORTE DE CO-TITULAR — LEVANTAMENTO INTEGRAL PELO OUTRO - ILICITUDE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Confira-se a respeito a Jurisprudência deste Tribunal consubstanciada em acórdão da 7ª C. Cível, de 15-9-1981, na Apelação 17.459, Relator WELHINGTON PIMENTEL, cuja ementa se transcreve "verbis": "Depósito em conta-conjunta. Presunção de divisão do crédito em partes iguais não afastada por prova em contrário. Aplicação do artigo 890 do C. Civil. Apropriação indevida de cota-parte do outro depositante. Ato ilícito. Imposição da correção monetária. Sentença parcialmente reformada. (Ementário Ano 3, pág. 94). No mesmo sentido o acórdão da 8ª Câmara Cível - no Agravo 9.842, Rel. Des. JOSÉ DOMINGOS MOLEDO SARTORI, Revista Direito Vol. 3, págs. 257/8; perfeito a realçar que duas são as relações derivadas da conta-conjunta, a primeira entre o Banco e os credores solidários e a 2ª entre estes últimos. Por isso mesmo falecendo um dos credores podem os herdeiros do falecido, reclamar do outro credor à devolução da metade da conta que ao falecido pertencia, que tenha sido pelo credor sobrevivente levantada. - Só tem razão em parte o Apelante com relação à quantia que, com procurador, ele levantou enquanto vigente o mandato, isto é, enquanto viva a mandante, eis que, não se pode em relação a tal levantamento desde logo vislumbrar a prática de ilícito apossamento, sem prévia prestação de contas, que o mandatário deve apresentar aos herdeiros da mandante, em ação própria. Ac. de 21-02-1989 VENCIDO O DESEMBARGADOR FERNANDO WHITANER Arquivo do EMFOR - TJ/2.044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conta conjunta, configura ilícito apossamento, o levantamento integral do depósito, por um dos co-titulares após a morte da outra, notadamente quando existe documento firmado pelo primeiro, declarando sua condição de procurador da última.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2026-10-26T06:01:02.814Z</dcterms:created>
  <dcterms:modified xsi:type="dcterms:W3CDTF">2026-10-26T06:01:02.814Z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