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Apelação 17.459</w:t>
      </w:r>
    </w:p>
    <w:p>
      <w:r>
        <w:rPr>
          <w:b/>
          <w:bCs/>
        </w:rPr>
        <w:t xml:space="preserve">Relator: </w:t>
      </w:r>
      <w:r>
        <w:t xml:space="preserve">WELHINGTON PIMENTEL</w:t>
      </w:r>
    </w:p>
    <w:p/>
    <w:p>
      <w:r>
        <w:t xml:space="preserve">MORTE DE CO-TITULAR — LEVANTAMENTO INTEGRAL PELO OUTRO -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Confira-se a respeito a Jurisprudência deste Tribunal consubstanciada em acórdão da 7ª C. Cível, de 15-9-1981, na Apelação 17.459, Relator WELHINGTON PIMENTEL, cuja ementa se transcreve "verbis": "Depósito em conta-conjunta. Presunção de divisão do crédito em partes iguais não afastada por prova em contrário. Aplicação do artigo 890 do C. Civil. Apropriação indevida de cota-parte do outro depositante. Ato ilícito. Imposição da correção monetária. Sentença parcialmente reformada. (Ementário Ano 3, pág. 94). No mesmo sentido o acórdão da 8ª Câmara Cível - no Agravo 9.842, Rel. Des. JOSÉ DOMINGOS MOLEDO SARTORI, Revista Direito Vol. 3, págs. 257/8; perfeito a realçar que duas são as relações derivadas da conta-conjunta, a primeira entre o Banco e os credores solidários e a 2ª entre estes últimos. Por isso mesmo falecendo um dos credores podem os herdeiros do falecido, reclamar do outro credor à devolução da metade da conta que ao falecido pertencia, que tenha sido pelo credor sobrevivente levantada. - Só tem razão em parte o Apelante com relação à quantia que, com procurador, ele levantou enquanto vigente o mandato, isto é, enquanto viva a mandante, eis que, não se pode em relação a tal levantamento desde logo vislumbrar a prática de ilícito apossamento, sem prévia prestação de contas, que o mandatário deve apresentar aos herdeiros da mandante, em ação própria. Ac. de 21-02-1989 VENCIDO O DESEMBARGADOR FERNANDO WHITANER Arquivo do EMFOR - TJ/2.044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conta conjunta, configura ilícito apossamento, o levantamento integral do depósito, por um dos co-titulares após a morte da outra, notadamente quando existe documento firmado pelo primeiro, declarando sua condição de procurador da última.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2026-07-28T02:55:35.976Z</dcterms:created>
  <dcterms:modified xsi:type="dcterms:W3CDTF">2026-07-28T02:55:35.976Z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