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COMÉRCIO DE BEBIDAS</w:t>
      </w:r>
    </w:p>
    <w:p>
      <w:r>
        <w:rPr>
          <w:i/>
          <w:iCs/>
          <w:color w:val="666666"/>
        </w:rPr>
        <w:t xml:space="preserve">DECRETO 6.489 DE 19-06-2008</w:t>
      </w:r>
    </w:p>
    <w:p/>
    <w:p/>
    <w:p>
      <w:r>
        <w:t xml:space="preserve">RESTRIÇÕES AO USO E À PROPAGANDA DE PRODUTOS FUMÍGEROS, BEBIDAS ALCOÓLICAS, MEDICAMENTOS, TERAPIAS E DEFENSIVOS AGRÍCOLAS — CONSUMO DE BEBIDA ALCOÓLICA POR CONDUTOR DE VEÍCULO AUTOMOTOR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11.705, DE 19 JUNHO DE 2008 Altera a Lei nº 9.503, de 23 de setembro de 1997, que 'institui o Código de Trânsito Brasileiro', e a Lei nº 9.294, de 15 de julho de 1996, que dispõe sobre as restrições ao uso e à propaganda de produtos fumígeros, bebidas alcoólicas, medicamentos, terapias e defensivos agrícolas, nos termos do § 4º do art. 220 da Constituição Federal, para inibir o consumo de bebida alcoólica por condutor de veículo automotor, e dá outras providências. O PRESIDENTE DA REPÚBLICA Faço saber que o Congresso Nacional decreta e eu sanciono a seguinte Lei: Art. 1º Esta Lei altera dispositivos da Lei nº 9.503, de 23 de setembro de 1997, que institui o Código de Trânsito Brasileiro, com a finalidade de estabelecer alcoolemia 0 (zero) e de impor penalidades mais severas para o condutor que dirigir sob a influência do álcool, e da Lei nº 9.294, de 15 de julho de 1996, que dispõe sobre as restrições ao uso e à propaganda de produtos fumígeros, bebidas alcoólicas, medicamentos, terapias e defensivos agrícolas, nos termos do § 4º do art. 220 da Constituição Federal, para obrigar os estabelecimentos comerciais em que se vendem ou oferecem bebidas alcoólicas a estampar, no recinto, aviso de que constitui crime dirigir sob a influência de álcool. Art. 2º São vedados, na faixa de domínio de rodovia federal ou em terrenos contíguos à faixa de domínio com acesso direto à rodovia, a venda varejista ou o oferecimento de bebidas alcoólicas para consumo no local. § 1º A violação do disposto no caput deste artigo implica multa de R$ 1.500,00 (um mil e quinhentos reais). § 2º Em caso de reincidência, dentro do prazo de 12 (doze) meses, a multa será aplicada em dobro, e suspensa a autorização de acesso à rodovia, pelo prazo de até 1 (um) ano. § 3º Não se aplica o disposto neste artigo em área urbana, de acordo com a delimitação dada pela legislação de cada município ou do Distrito F ederal. Art. 3º Ressalvado o disposto no § 3º do art. 2º desta Lei, o estabelecimento comercial situado na faixa de domínio de rodovia federal ou em terreno contíguo à faixa de domínio com acesso direto à rodovia, que inclua entre suas atividades a venda varejista ou o fornecimento de bebidas ou alimentos, deverá afixar, em local de ampla visibilidade, aviso da vedação de que trata o art. 2º desta Lei. Parágrafo único. O descumprimento do disposto no caput deste artigo implica multa de R$ 300,00 (trezentos reais). Art. 4º Competem à Polícia Rodoviária Federal a fiscalização e a aplicação das multas previstas nos arts. 2º e 3º desta Lei. § 1º A União poderá firmar convênios com Estados, Municípios e com o Distrito Federal, a fim de que estes também possam exercer a fiscalização e aplicar as multas de que tratam os arts. 2º e 3º desta Lei. § 2º Configurada a reincidência, a Polícia Rodoviária Federal ou ente conveniado comunicará o fato ao Departamento Nacional de Infra-Estrutura de Transportes - DNIT ou, quando se tratar de rodovia concedida, à Agência Nacional de Transportes Terrestres - ANTT, para a aplicação da penalidade de suspensão da autorização de acesso à rodovia. Art. 5º A Lei nº 9.503, de 23 de setembro de 1997, passa a vigorar com as seguintes modificações: I - o art. 10 passa a vigorar acrescido do seguinte inciso XXIII: "Art. 10. ........................... .......................................... XXIII - 1 (um) representante do Ministério da Justiça. ......................................." (NR) II - o caput do art. 165 passa a vigorar com a seguinte redação: "Art. 165. Dirigir sob a influência de álcool ou de qualquer outra substância psicoativa que determine dependência: Infração - gravíssima; Penalidade - multa (cinco vezes) e suspensão do direito de dirigir por 12 (doze) meses; Medida Administrativa - retenção do veículo até a apresentação de condutor habilita do e recolhimento do documento de habilitação. ...................." (NR) III - o art. 276 passa a vigorar com a seguinte redação: "Art. 276. Qualquer concentração de álcool por litro de sangue sujeita o condutor às penalidades previstas no art. 165 deste Código. Parágrafo único. Órgão do Poder Executivo federal disciplinará as margens de tolerância para casos específicos." (NR) IV - o art. 277 passa a vigorar com as seguintes alterações: "Art. 277. ............... ................................. § 2º A infração prevista no art. 165 deste Código poderá ser caracterizada pelo agente de trânsito mediante a obtenção de outras provas em direito admitidas, acerca dos notó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2026-06-17T16:34:59.481Z</dcterms:created>
  <dcterms:modified xsi:type="dcterms:W3CDTF">2026-06-17T16:34:59.481Z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