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/>
    <w:p>
      <w:r>
        <w:t xml:space="preserve">INCIDÊNCIA SOBRE A VAGA E A AUTONOMIA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vaga e a autonomia do agravado junto a cooperativa de táxi especial "coopertramo", enquadra-se na exceção contida no inciso VI do artigo 649 da Lei Processual Civil, haja vista serem necessárias ao exercício profissional do agravado. - A tese de que o mesmo poderia permanecer exercendo sua função como taxista autônomo profissional do executado, que viabiliza sua sobrevivência básica através do seu trabalho, resguardada pelo legislador pátrio. - A disposição suso mencionada se refere aos bens pertencentes aos que vivem do trabalho pessoal próprio, no que se enquadra plenamente a autonomia do agravado, como taxista. - Por outro lado, é cediço que o credor pode promover a execução por outros meios menos gravosos para o devedor, em respeito ao princípio da menor onerosidade consagrado no artigo 620 do CPC. - Face ao exposto, conhece-se e nega-se provimento ao recurso. Ac. de 19-12-2001 DJ de 15-02-2002, pág. 029 Arquivo do EMFOR, TJRJ/N 7239 EMENTÁRIO FORENSE. Agosto, 2008. Ano LX. Nº 717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vaga e a autonomia do taxista junto a cooperativa, enquadra-se na exceção contida no inciso VI do artigo 649 da Lei Processual Civil, haja vista serem necessárias aos exercício profissional do mesmo.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2026-06-17T15:26:12.249Z</dcterms:created>
  <dcterms:modified xsi:type="dcterms:W3CDTF">2026-06-17T15:26:12.249Z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