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Julgado em: </w:t>
      </w:r>
      <w:r>
        <w:t xml:space="preserve">28/02/1985</w:t>
      </w:r>
    </w:p>
    <w:p/>
    <w:p>
      <w:r>
        <w:t xml:space="preserve">DESAPOSSAMENTO A QUE O PACIENTE NÃO DEU CAUSA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 esteve sempre bem colocada, tanto no primeiro como no segundo parecer da Procuradoria-Geral da República. - Não sendo lógico pretender que devesse o paciente resistir à ordem de remoção judicial dos bens, que foi intimado a apresentar sob cominação expressa de prisão (cfr. mandado, expedido pela 13ª Vara Cível) o que realmente importa indagar é se a segunda penhora, de que a remoção é consequência, decorreu ou não de ato de vontade do depositário. - A resposta afirmativa, parecia conduzir, embora sem a desejável clareza, o auto de penhora lavrado pelos oficiais de Justiça. - A certeza da resposta negativa (isto é a de que a nova penhora não redundou de ato voluntário), extrai-se agora da certidão, onde se contém, entre outros dados o teor do despacho que determinou a penhora, não sobre o imóvel indicado, mas sobre os bens que o oficial encontrasse. - A prisão civil do depositário infiel não constitui pena e sim meio de constrangimento, mas contempla, sem dúvida, uma atuação situada no limiar do crime, e não pode deixar de corresponder a uma ação ou omissão culposas do depositário. - Por isso, devem as hipóteses do cabimento da medida receber interpretação restrita não sendo possível a sua decretação nos casos de desaparecimento do bem em virtude de caso fortuito ou força maior devidamente comprovados (art. 1.277 do Código Civil), como bem decidiu a Segunda Turma ao apreciar o "Habeas Corpus" nº 61.150, sendo relator o eminente Ministro FRANCISCO REZEK: "'Habeas Corpus' Alienação fiduciária em garantia. Prisão civil. Se o bem adquirido por alienação fiduciária é comprovadamente furtado, não pode o devedor ser considerado depositário infiel. Ilegítimo é o decreto de prisão civil expedido em tais circunstâncias. Ordem de 'habeas corpus' que se concede" (RTJ nº 108/577). - Assim, evidenciado que o desapossamento dos bens depositados não dependeu da ação ou omissão do paciente, e que este não pode, portanto, ser qualificado como depositário infiel acolho o parecer da douta Procuradoria-Geral da República e concedo a ordem, para tornar definitiva a liminar e cessar o decreto de prisão. Julgado em 01-03-1985 Revista Trimestral de Jurisprudência. Julho, 1985 - Vol. 113 - Pág. 106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tendo o desapossamento dependido de ação ou omissão do paciente, não pode este ser tido como depositário infiel.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2026-10-26T03:46:07.445Z</dcterms:created>
  <dcterms:modified xsi:type="dcterms:W3CDTF">2026-10-26T03:46:07.445Z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