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Relator: </w:t>
      </w:r>
      <w:r>
        <w:t xml:space="preserve">Álvaro Mayrink</w:t>
      </w:r>
    </w:p>
    <w:p/>
    <w:p>
      <w:r>
        <w:t xml:space="preserve">99. ENDOSSO-MANDATO — PROTESTO INDEVIDO DE TÍTULO - RESPONSABILIDADE DO ENDOSSATÁRIO - INOCORRÊNCIA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99 "Tratando-se de endosso-mandato, devidamente comprovado nos autos, não responde o endossatário por protesto indevido, salvo se lhe era possível evitá-lo". Referência: Súmula da Jurisprudência Predominante nº 2005.146.00003 - Julgamento em 24/10/2005 - Votação: unânime - Relator: Desembargador Álvaro Mayrink da Costa - Registro de Acórdão em 13/12/2005 - fls. 010862/010867. EMENTÁRIO FORENSE. Outubro, 2008. Ano LX. Nº 719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2026-07-28T00:26:18.799Z</dcterms:created>
  <dcterms:modified xsi:type="dcterms:W3CDTF">2026-07-28T00:26:18.799Z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