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>
      <w:r>
        <w:rPr>
          <w:b/>
          <w:bCs/>
        </w:rPr>
        <w:t xml:space="preserve">Julgado em: </w:t>
      </w:r>
      <w:r>
        <w:t xml:space="preserve">11/12/2001</w:t>
      </w:r>
    </w:p>
    <w:p/>
    <w:p>
      <w:r>
        <w:t xml:space="preserve">TABELA CONSTANTE DAS NORMAS DE ACIDENTES PESSOAIS — UTILIZAÇÃO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Versam os autos recurso de apelação interposto pela C.S.M.B., qualificada nos autos. Insurge-se a apelante contra sentença que julgou procedente o pedido em ação de cobrança de seguro obrigatório ajuizada por H.P.R. e a condenou ao pagamento da complementação da indenização por amputação da perna decorrente de acidente automobilístico no importe de R$ 5.749,40 (cinco mil, setecentos e quarenta e nove reais e quarenta centavos), mais encargos legais. - Em suas razões recursais de fls., sustenta a apelante, em resumo: extinção da relação jurídica entre as partes pela plena validade da quitação outorgada pelo apelado, que recebeu a indenização sem ter alegado qualquer vício no pagamento; o artigo 3º da Lei 6.194/74 encontra-se revogado pelas Leis nºs 6.205/75 e 6.423/77, sendo vedada a vinculação da indenização DPVAT ao salário mínimo, inclusive por disposição constitucional; o Conselho Nacional de Seguros Privados, órgão competente para regulamentar o seguro obrigatório, estabeleceu que o limite máximo indenizável para invalidez é R$ 13.500,00; que o valor pago tem estreita relação com o tipo e grau da lesão apresentada e está de acordo com a tabela expedida pela CNSP para indenizações no caso de invalidez permanente. Pugna, ao final, pela redução do percentual fixado a titulo de honorários advocatícios, por considerar por considerar que a demanda apresenta baixa complexidade. - ......................... - A apelante alega que houve extinção da relação jurídica entre as partes ante a plena validade da quitação outorgada pelo apelado, que recebeu a indenização sem ter alegado qualquer vício no pagamento naquela ocasião. - Não assiste razão à apelante. - O f ato do apelado ter dado recibo referente ao valor pago a menor não significa que tenha dado plena quitação da indenização relativa ao sinistro ocorrido, haja vista que o recibo refere-se apenas ao valor já pago, de forma que não impede a pretensão da apelada de receber a diferença da indenização securitária, caso exista, e tampouco traduz renúncia àquele direito ou extinção da obrigação. - Com efeito, tem-se que, na esteira do entendimento uníssono da doutrina e jurisprudência, o recibo de pagamento de seguro emitido pelo beneficiário tem poder de quitação apenas quanto ao valor nele expresso, não impedindo que sejam pugnadas as diferenças que, posteriormente, verificou-se existir. - Ainda que a apelada tenha firmado recibo, dando plena e geral quitação dos direitos decorrentes do sinistro, tal fato não lhe retira o direito de reclamar eventual diferença que lhe seja devida, na medida em que o mencionado documento somente exonera a apelante das importâncias expressas e efetivamente pagas, devendo essa quitação ser interpretada da forma mais favorável ao beneficiário do seguro DPVAT, em face do seu evidente caráter social. - Neste sentido, é o entendimento deste eg. Tribunal: "AÇÃO DE COBRANÇA - SEGURO OBRIGATÓRIO - DANOS PESSOAIS CAUSADOS POR VEÍCULOS AUTOMOTORES DE VIAS TERRESTRES (DPVAT) - QUITAÇÃO GERAL - IRRELEVÂNCIA - SALÁRIO MÍNIMO - POSSIBILIDADE - JUROS DE MORA - CITAÇÃO - CORREÇÃO MONETÁRIA. (...) O recibo de quitação passado de forma geral não traduz renúncia a direito legalmente assegurado." (TJMG - APELAÇÃO CÍVEL N. 2.0000.00.510450-3/000, Rel. Des. José Amâncio, julg. 17/08/2005). - Assim, a quitação parcial do seguro obrigatório - DPVAT não obsta que o beneficiário busque judicialmente a complementação de seu valor, previsto na alínea "b" do art. 3° da Lei 6.194/74. - Quanto à alegação de que a indenização referente a seguro obrigatório não pode ser vinculada ao salário mínimo, também não assiste razão à apelante, pois a utilização do salário mínimo neste caso é apenas para quantificar-se a indenização, não sendo tal vinculação inconstitucional. - A Súmula 490 do Supremo Tribunal Federal definiu: "A pensão correspondente à indenização oriunda da responsabilidade civil deve ser calculada com base no salário mínimo vigente na época da sentença e ajustar-se às variações posteriores". - No Superior Tribunal de Justiça foi definido também em consonância com o Supremo Tribunal Federal: "Pacificou-se a jurisprudência das turmas de direito privado do STJ a partir do julgamento do REsp n. 12154/SP, rel. Min. Cláudio Santos, DJU de 29.06.1992, no sentido de validade da fixação do valor da indenização em quantitativo de salários mínimos, o que não se confunde com a sua utilização como fator de reajuste vedado pela Lei n. 6205/75". - A indenização referente ao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a tabela constante das Normas de Acidentes pessoais com previsão no artigo 5º § 5º da Lei 6.194/74, a perda total do uso de um dos membros inferiores não merece indenização de 100%, mas apenas de 70%.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2026-10-26T02:41:59.088Z</dcterms:created>
  <dcterms:modified xsi:type="dcterms:W3CDTF">2026-10-26T02:41:59.088Z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