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AUTOMÓVEL</w:t>
      </w:r>
    </w:p>
    <w:p>
      <w:r>
        <w:rPr>
          <w:i/>
          <w:iCs/>
          <w:color w:val="666666"/>
        </w:rPr>
        <w:t xml:space="preserve">INDENIZAÇÃO POR DANO MORAL</w:t>
      </w:r>
    </w:p>
    <w:p/>
    <w:p/>
    <w:p>
      <w:r>
        <w:t xml:space="preserve">DIFERENÇAS — POSTULAÇÃO COM BASE NO SALÁRIO MÍNIMO EM VIGOR À ÉPOCA DO PAGAMENTO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Assim, conclui-se que a fixação do valor da indenização em 40 salários mínimos decorre da lei (Art. 3º da Lei nº 6.194/74), descabendo aplicar ao caso a Resolução da CNSP/SUSEP invocada, não implicando o recibo dado pelo autor ma impossibilidade de cobrança judicial da indenização determinada em lei. - Todavia, apenas no que toca aos juros de mora assiste razão ao recorrente. - É certo que os acréscimos legais são devidos, neste caso, porque a seguradora pagou a menor em desobediência ao preceito legal aplicável à espécie, porém, sua incidência é contada somente a partir da citação, tendo em vista se tratar de relação contratual. - Com tais razões, com fulcro no Art. 557 do CPC, dou provimento parcial ao recurso, apenas para que os juros moratórios de 1% ao mês, incidam a partir da citação, mantida, no mais, a sentença recorrida. Ac. de 04-04-2005 Arquivo do EMFOR, TJRJ/N 7293 EMENTÁRIO FORENSE. Dezembro, 2008. Ano LX. Nº 721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recibo dado pelo beneficiário do seguro em relação à indenização paga a menor não inibe de reivindicar, em juízo, a diferença em relação ao montante que lhe cabe de conformidade com a lei que rege a espécie.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2026-10-26T02:45:07.064Z</dcterms:created>
  <dcterms:modified xsi:type="dcterms:W3CDTF">2026-10-26T02:45:07.064Z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