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Julgado em: </w:t>
      </w:r>
      <w:r>
        <w:t xml:space="preserve">28/08/2007</w:t>
      </w:r>
    </w:p>
    <w:p/>
    <w:p>
      <w:r>
        <w:t xml:space="preserve">ALTERAÇÃO — REQUISITOS A SEREM PREENCHIDOS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observo que os apelantes convolaram núpcias em janeiro de 1978, sob o regime legal da comunhão parcial de bens (fl.), e pretendem alterá-lo para o da separação total de bens, sob o argumento de ter o varão constituído uma empresa (por cotas de responsabilidade limitada), já extinta, mas com pendências, e a necessidade de assegurar à virago a livre administração de seus bens futuros, além de salvaguardar a unidade familiar. - A magistrada a quo indeferiu o pedido do casal, entendendo inexistir forte motivação a justificar a pretendida alteração do regime de bens. - Inicialmente, lembro que já se encontra pacificado o entendimento no sentido da possibilidade de aplicação do art. 1.639, § 2º, do Código Civil aos casamentos celebrados antes da vigência desse estatuto legal, tendo clareza solar o referido diploma legal, "in verbis": "Art. 1.639. É lícito aos nubentes, antes de celebrado o casamento, estipular, quanto aos seus bens, o que lhes aprouver. ........................... § 2º. É admissível a alteração do regime de bens, mediante autorização judicial em pedido motivado de ambos os cônjuges, apurada a procedência das razões invoc adas e ressalvados os direitos de terceiros." - Assim, para que seja possível promover a alteração do regime de bens, devem ser preenchidos os requisitos legais, quais sejam: (a) a exigência de processo judicial; (b) o consenso do casal na postulação; (c) a motivação e (d) a ressalva do direito de terceiros. - No caso em exame, todas as exigências legais foram atendidas, sendo oportuno lembrar a pertinente lição de EUCLIDES DE OLIVEIRA: "Exige-se requerimento conjunto do marido e da mulher, ambos interessados na mudança. A motivação do pedido, circunscrita ao interesse comum dos cônjuges, há de ser exposta ao juiz e devidamente comprovada. Neste ponto, certamente não haverá rigor ou extremado formalismo, uma vez que variam as circunstâncias motivadoras dentro do âmbito familiar, de modo que deverá ser suficiente a exposição das razões pessoais dos cônjuges na mudança do regime, para exame e decisão dentro dos critérios da razoabilidade" ("Alteração do regime de bens no casamento", "in" Novo Código Civil - questões Controvertidas, MÁRIO LUIZ DELGADO e JONES FIGUEIRÊDO ALVES, coordenadores, São Paulo: Editora Método, ano 2003, p. 393). - Aliás, neste mesmo sentido, é oportuno lembrar a lição doutrinária do eminente DESEMBARGADOR LUIZ FELIPE BRASIL SANTOS, "in verbis": "A motivação e sua prova constituem a terceira condição do pleito. A lei não explicita em quais circunstâncias será considerada justificável a modificação postulada. Deixa, assim, à jurisprudência, na análise dos casos concretos, fixar os casos em que se permitirá a modificação pretendida. Adequada a opção legislativa, pois sabido que a enumeração jamais teria o condão de esgotar todas as hipóteses concretas. No entanto, não deverá ser por demais rígida a verificação dos motivos que sirvam para justificar o pedido, caso contrário ficará esvaziada a própria finalidade da norma." ("Autonomia de vontade e os regimes matrimoniais de bens", "in" Direitos Fun damentais do Direito de Família, BELMIRO PEDRO WELTERr e ROL HANSSEN MADALENO, coordenadores, P. Alegre: Livraria do Advogado, ano 2004, pp. 216-217). - Observo, pois, que a alteração está sendo postulada judicialmente, com evidente consenso dos cônjuges, que postularam a modificação e recorreram da decisão indeferitória. Assim, não há apenas a convergência das vontades de RUI e SANDRA, como há inequívoca vantagem para ambos e para a própria administração da vida familiar. A motivação para o pedido é cristalina, pois RUI teve sua empresa fechada e contraiu dívidas, sendo que o casal pretende assegurar à virago a administração de patrimônio futuro que poderá, eventualmente, ser adquirido por ela e que poderá vir a ser atingido pela má administração da empresa de RUI. Ou seja, as partes referem a necessidade da alteração do regime matrimonial com o propósito manifesto de evitar transtornos futuros capazes de afetar a própria convivência comum do casal e a própria estrutura familiar. - Além disso, friso que foi atendido, também, o último requisito posto na lei, sendo atendido o disposto no Provimento nº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alteração do regime de bens, devem ser preenchidos os requisitos postos no art. 1.639, § 2º, do CCB. - Havendo consenso entre as partes e estando o pedido embasado na necessidade de assegurar à esposa a administração de patrimônio futuro que poderá, eventualmente, ser atingido pela má administração da empresa do marido, bem como sendo comprovada a publicação de edital informando a troca de regime de bens (Provimento nº 24/03 da CGJ), merece acolhida o pedido. - Não há necessidade de comprovação da justificativa apresentada pelo casal para a alteração de regime de bens, pois o ordenamento jurídico pátrio passou a admitir a mutabilidade do regime de bens, exigindo apenas a motivação e a salvaguarda dos direitos de terceiros.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2026-10-26T03:52:50.244Z</dcterms:created>
  <dcterms:modified xsi:type="dcterms:W3CDTF">2026-10-26T03:52:50.244Z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