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INDEFERIMENTO DE INICIAL</w:t>
      </w:r>
    </w:p>
    <w:p/>
    <w:p>
      <w:r>
        <w:rPr>
          <w:b/>
          <w:bCs/>
        </w:rPr>
        <w:t xml:space="preserve">Recurso: </w:t>
      </w:r>
      <w:r>
        <w:t xml:space="preserve">REsp 77.137/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GALLOTTI</w:t>
      </w:r>
    </w:p>
    <w:p/>
    <w:p>
      <w:r>
        <w:t xml:space="preserve">IMÓVEL — ENTREGA DAS CHAVES ANTES DE PROFERIDA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embora seja cabível a exoneração da garantia fidejussória prestada à sociedade afiançada nas hipóteses em que houve a alteração de seu quadro societário, com a saída do sócio em razão do qual houve a prestação da fiança, a entrega das chaves do imóvel antes da prolação da respectiva sentença importa em perda do interesse processual do fiador no prosseguimento da referida ação de exoneração. - Nesse sentido: "CIVIL E PROCESSO CIVIL. LOCAÇÃO PRORROGADA POR PRAZO INDETERMINADO COM A ANUÊNCIA DO FIADOR. FIANÇA. EXONERAÇÃO. TERMO INICIAL. EXEGESE DO ART. 1.500 DO CÓDIGO CIVIL. 1. Dispõe o art. 1.500 do CC que "o fiador poderá exonerar-se da fiança que tiver assinado sem limitação de tempo, sempre que lhe convier, ficando, porém, obrigado por todos os efeitos da fiança, anteriores ao ato amigável, ou à sentença que o exonerar." 2. Tendo o locatário desocupado o imóvel antes de ser proferida a sentença na ação de exoneração de fiança, correta a decisão do Juiz de primeiro grau de que a fiadora não tinha mais interesse de agir, porquanto, rescindido o contrato de locação, extinta se encontrava a garantia, acessória do principal. 3. Recurso especial conhecido e provido. (REsp 77.137/SP, Rel. Min. PAULO GALLOTTI, Sexta Turma, DJ 16/8/04) - ....................... - Ante o exposto, conheço do recurso especial e nego-lhe provimento. - É o voto. Ac. de 27-03-2008 DJ de 02-06-2008 (Reg. nº 2005/0042070-7) Arquivo do EMFOR, STJ/N 7308 EMENTÁRIO FORENSE. Dezembro, 2008. Ano LX. Nº 721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entrega das chaves do imóvel locado antes de ser proferida a sentença na ação de exoneração de fiança importa na perda do interesse processual da fiadora.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2026-10-26T02:23:50.058Z</dcterms:created>
  <dcterms:modified xsi:type="dcterms:W3CDTF">2026-10-26T02:23:50.058Z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