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p>
      <w:r>
        <w:t xml:space="preserve">02. LEGISLAÇÃO TRIBUTÁRIA FEDERAL
      Capítulo I — DA COBRANÇA NÃO-CUMULATIVA DA COFINS</w:t>
      </w:r>
    </w:p>
    <w:p/>
    <w:p>
      <w:pPr>
        <w:pStyle w:val="Heading2"/>
      </w:pPr>
      <w:r>
        <w:rPr>
          <w:b/>
          <w:bCs/>
        </w:rPr>
        <w:t xml:space="preserve">Ementa</w:t>
      </w:r>
    </w:p>
    <w:p>
      <w:r>
        <w:t xml:space="preserve">Art. 9º A empresa comercial exportadora que houver adquirido mercadorias de outra pessoa jurídica, com o fim específico de exportação para o exterior, que, no prazo de 180 (cento e oitenta) dias, contados da data da emissão da nota fiscal pela vendedora, não comprovar o seu embarque para o exterior, ficará sujeita ao pagamento de todos os impostos e contribuições que deixaram de ser pagos pela empresa vendedora, acrescidos de juros de mora e multa, de mora ou de ofício, calculados na forma da legislação que rege a cobrança do tributo não pago. § 1º Para efeito do disposto neste artigo, considera-se vencido o prazo para o pagamento na data em que a empresa vendedora deveria fazê-lo, caso a venda houvesse sido efetuada para o mercado interno. § 2º No pagamento dos referidos tributos, a empresa comercial exportadora não poderá deduzir, do montante devido, qualquer valor a título de crédito de Imposto sobre Produtos Industrializados - IPI, ou da COFINS, decorrente da aquisição das mercadorias e serviços objeto da incidência. § 3º A empresa deverá pagar, também, os impostos e contribuições devidos nas vendas para o mercado interno, caso, por qualquer forma, tenha alienado ou utilizado as mercadorias. Art. 10. Permanecem sujeitas às normas da legislação da COFINS, vigentes anteriormente a esta Lei, não se lhes aplicando as disposições dos arts. 1º a 8º: I - as pessoas jurídicas referidas nos §§ 6º, 8º e 9º do art. 3º da Lei nº 9.718, de 1998, e na Lei nº 7.102, de 20 de junho de 1983; II - as pessoas jurídicas tributadas pelo imposto de renda com base no lucro presumido ou arbitrado; III - as pessoas jurídicas optantes pelo SIMPLES; IV - as pessoas jurídicas imunes a impostos; V - os órgãos públicos, as autarquias e fundações públicas federais, estaduais e municipais, e as fundações cuja criação tenha sido autorizada por lei, referidas no art. 61 do Ato das Disposições Constitucionais Transitórias da Const ituição; VI - sociedades cooperativas, exceto as de produção agropecuária, sem prejuízo das deduções de que trata o art. 15 da Medida Provisória nº 2.158-35, de 24 de agosto de 2001, e o art. 17 da Lei nº 10.684, de 30 de maio de 2003, não lhes aplicando as disposições do § 7º do art. 3º das Leis nos 10.637, de 30 de dezembro de 2002, e 10.833, de 29 de dezembro de 2003, e as de consumo; (Redação dada pela Lei nº 10.865/2004) VII - as receitas decorrentes das operações: a) referidas no inciso IV do § 3º do art. 1º; (Vide Medida Provisória nº 413/2008) (Vide Lei nº 11.727/2008) (Vigência) b) sujeitas à substituição tributária da COFINS; c) referidas no art. 5º da Lei nº 9.716, de 26 de novembro de 1998; VIII - as receitas decorrentes de prestação de serviços de telecomunicações; IX - as receitas decorrentes de venda de jornais e periódicos e de prestação de serviços das empresas jornalísticas e de radiodifusão sonora e de sons e imagens; (Redação dada pela Lei nº 10.865/2004) X - as receitas submetidas ao regime especial de tributação previsto no art. 47 da Lei nº 10.637, de 30 de dezembro de 2002; XI - as receitas relativas a contratos firmados anteriormente a 31 de outubro de 2003: a) com prazo superior a 1 (um) ano, de administradoras de planos de consórcios de bens móveis e imóveis, regularmente autorizadas a funcionar pelo Banco Central; b) com prazo superior a 1 (um) ano, de construção por empreitada ou de fornecimento, a preço predeterminado, de bens ou serviços; c) de construção por empreitada ou de fornecimento, a preço predeterminado, de bens ou serviços contratados com pessoa jurídica de direito público, empresa pública, sociedade de economia mista ou suas subsidiárias, bem como os contratos posteriormente firmados decorrentes de propostas apresentadas, em processo licitatório, até aquela data; XII - as receitas decorrentes de prestação de serviços de transporte coletivo rodoviário, metroviário, ferroviário e aquaviári o de passageiros; XIII - as receitas decorrentes de serviços: (Redação dada pela Lei nº 10.865/2004) a) prestados por hospital, pronto-socorro, clínica médica, odontológica, de fisioterapia e de fonoaudiologia, e laboratório de anatomia patológica, citológica ou de análises clínicas; e (Incluído pela Lei nº 10.865/2004) b) de diálise, raios X, radiodiagnóstico e radioterapia, quimioterapia e de banco de sangue; (Incluído pela Lei nº 10.865/2004) XIV - as receitas decorrentes de prestação de serviços de educação infantil, ensinos fundamental e médio e educação superior. XV - as receitas decorrente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2026-06-17T16:34:39.107Z</dcterms:created>
  <dcterms:modified xsi:type="dcterms:W3CDTF">2026-06-17T16:34:39.107Z</dcterms:modified>
</cp:coreProperties>
</file>

<file path=docProps/custom.xml><?xml version="1.0" encoding="utf-8"?>
<Properties xmlns="http://schemas.openxmlformats.org/officeDocument/2006/custom-properties" xmlns:vt="http://schemas.openxmlformats.org/officeDocument/2006/docPropsVTypes"/>
</file>