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r>
        <w:rPr>
          <w:b/>
          <w:bCs/>
        </w:rPr>
        <w:t xml:space="preserve">Recurso: </w:t>
      </w:r>
      <w:r>
        <w:t xml:space="preserve">re .</w:t>
      </w:r>
    </w:p>
    <w:p/>
    <w:p>
      <w:r>
        <w:t xml:space="preserve">06. LEGISLAÇÃO TRIBUTÁRIA FEDERAL
      Capítulo III — DAS DISPOSIÇÕES RELATIVAS À LEGISLAÇÃO ADUANEIRA</w:t>
      </w:r>
    </w:p>
    <w:p/>
    <w:p>
      <w:pPr>
        <w:pStyle w:val="Heading2"/>
      </w:pPr>
      <w:r>
        <w:rPr>
          <w:b/>
          <w:bCs/>
        </w:rPr>
        <w:t xml:space="preserve">Ementa</w:t>
      </w:r>
    </w:p>
    <w:p>
      <w:r>
        <w:t xml:space="preserve">Art. 67. Na impossibilidade de identificação da mercadoria importada, em razão de seu extravio ou consumo, e de descrição genérica nos documentos comerciais e de transporte disponíveis, serão aplicadas, para fins de determinação dos impostos e dos direitos incidentes, as alíquotas de 50% (cinqüenta por cento) para o cálculo do Imposto de Importação e de 50% (cinqüenta por cento) para o cálculo do Imposto sobre Produtos Industrializados. § 1º Na hipótese prevista neste artigo, a base de cálculo do Imposto de Importação será arbitrada em valor equivalente à média dos valores por quilograma de todas as mercadorias importadas a título definitivo, pela mesma via de transporte internacional, constantes de declarações registradas no semestre anterior, incluídas as despesas de frete e seguro internacionais, acrescida de 2 (duas) vezes o correspondente desvio padrão estatístico. § 2º Na falta de informação sobre o peso da mercadoria, adotar-se-á o peso líquido admitido na unidade de carga utilizada no seu transporte. Art. 68. As mercadorias descritas de forma semelhante em diferentes declarações aduaneiras do mesmo contribuinte, salvo prova em contrário, são presumidas idênticas para fins de determinação do tratamento tributário ou aduaneiro. Parágrafo único. Para efeito do disposto no caput, a identificação das mercadorias poderá ser realizada no curso do despacho aduaneiro ou em outro momento, com base em informações coligidas em documentos, obtidos inclusive junto a clientes ou a fornecedores, ou no processo produtivo em que tenham sido ou venham a ser utilizadas. Art. 69. A multa prevista no art. 84 da Medida Provisória nº 2.158-35, de 24 de agosto de 2001, não poderá ser superior a 10% (dez por cento) do valor total das mercadorias constantes da declaração de importação. § 1º A multa a que se refere o caput aplica-se também ao importador, exportador ou beneficiário de regime aduaneiro que omitir ou pr estar de forma inexata ou incompleta informação de natureza administrativo-tributária, cambial ou comercial necessária à determinação do procedimento de controle aduaneiro apropriado. § 2º As informações referidas no § 1º, sem prejuízo de outras que venham a ser estabelecidas em ato normativo da Secretaria da Receita Federal, compreendem a descrição detalhada da operação, incluindo: I - identificação completa e endereço das pessoas envolvidas na transação: importador/exportador; adquirente (comprador)/fornecedor (vendedor), fabricante, agente de compra ou de venda e representante comercial; II - destinação da mercadoria importada: industrialização ou consumo, incorporação ao ativo, revenda ou outra finalidade; III - descrição completa da mercadoria: todas as características necessárias à classificação fiscal, espécie, marca comercial, modelo, nome comercial ou científico e outros atributos estabelecidos pela Secretaria da Receita Federal que confiram sua identidade comercial; IV - países de origem, de procedência e de aquisição; e V - portos de embarque e de desembarque. § 3º (Vide Medida Provisória nº 320/2006) Art. 70. O descumprimento pelo importador, exportador ou adquirente de mercadoria importada por sua conta e ordem, da obrigação de manter, em boa guarda e ordem, os documentos relativos às transações que realizarem, pelo prazo decadencial estabelecido na legislação tributária a que estão submetidos, ou da obrigação de os apresentar à fiscalização aduaneira quando exigidos, implicará: I - se relativo aos documentos comprobatórios da transação comercial ou os respectivos registros contábeis: a) a apuração do valor aduaneiro com base em método substitutivo ao valor de transação, caso exista dúvida quanto ao valor aduaneiro declarado; e b) o não-reconhecimento de tratamento mais benéfico de natureza tarifária, tributária ou aduaneira eventualmente concedido, com efeitos retroativos à data do fato gerador, caso não sejam apresentadas provas do regular cumprimento das condições previstas na legislação específica para obtê-lo; II - se relativo aos documentos obrigatórios de instrução das declarações aduaneiras: a) o arbitramento do preço da mercadoria para fins de determinação da base de cálculo, conforme os critérios definidos no art. 88 da Medida Provisória nº 2.158-35, de 24 de agosto de 2001, se existir dúvida quanto ao preço efetivamente praticado; e b) a aplicação cumulativa das multas de: 1. 5% (cinco por cento) do valor aduaneiro das mercadorias importadas; e 2. 100% (cem por cento) sobre a diferença entre o preço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2026-06-17T14:16:17.378Z</dcterms:created>
  <dcterms:modified xsi:type="dcterms:W3CDTF">2026-06-17T14:16:17.378Z</dcterms:modified>
</cp:coreProperties>
</file>

<file path=docProps/custom.xml><?xml version="1.0" encoding="utf-8"?>
<Properties xmlns="http://schemas.openxmlformats.org/officeDocument/2006/custom-properties" xmlns:vt="http://schemas.openxmlformats.org/officeDocument/2006/docPropsVTypes"/>
</file>