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CÓDIGO TRIBUTÁRIO NACIONAL</w:t>
      </w:r>
    </w:p>
    <w:p>
      <w:r>
        <w:rPr>
          <w:i/>
          <w:iCs/>
          <w:color w:val="666666"/>
        </w:rPr>
        <w:t xml:space="preserve">DECRETO-LEI 28 DE 14-11-1966</w:t>
      </w:r>
    </w:p>
    <w:p/>
    <w:p/>
    <w:p>
      <w:r>
        <w:t xml:space="preserve">07. LEGISLAÇÃO TRIBUTÁRIA FEDERAL
      Capítulo II — DAS OUTRAS DISPOSIÇÕES RELATIVAS À LEGISLAÇÃO TRIBUTÁRIA
      Capítulo IV - DISPOSIÇÕES FINAIS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Art. 77. Os arts. 1º, 17, 36, 37, 50, 104, 107 e 169 do Decreto-Lei nº 37, de 18 de novembro de 1966, passam a vigorar com as seguintes alterações: "Art. 1º ................ .............................. § 4º O imposto não incide sobre mercadoria estrangeira: I - avariada ou que se revele imprestável para os fins a que se destinava, desde que seja destruída sob controle aduaneiro, antes de despachada para consumo, sem ônus para a Fazenda Nacional; II - em trânsito aduaneiro de passagem, acidentalmente destruída; ou III - que tenha sido objeto de pena de perdimento, exceto na hipótese em que não seja localizada, tenha sido consumida ou revendida." (NR) "Art. 17. .................. Parágrafo único. ................................. V - bens doados, destinados a fins culturais, científicos e assistenciais, desde que os beneficiários sejam entidades sem fins lucrativos." (NR) "Art. 36. A fiscalização aduaneira poderá ser ininterrupta, em horários determinados, ou eventual, nos portos, aeroportos, pontos de fronteira e recintos alfandegados. § 1º A administração aduaneira determinará os horários e as condições de realização dos serviços aduaneiros, nos locais referidos no caput. ....................." (NR) "Art. 37. O transportador deve prestar à Secretaria da Receita Federal, na forma e no prazo por ela estabelecidos, as informações sobre as cargas transportadas, bem como sobre a chegada de veículo procedente do exterior ou a ele destinado. § 1º O agente de carga, assim considerada qualquer pessoa que, em nome do importador ou do exportador, contrate o transporte de mercadoria, consolide ou desconsolide cargas e preste serviços conexos, e o operador portuário, também devem prestar as informações sobre as operações que executem e respectivas cargas. § 2º Não poderá ser efetuada qualquer operação de carga ou descarga, em embarcações, enquanto não forem prestadas as informações referidas neste artigo. § 3º A Secretaria da Receita F ederal fica dispensada de participar da visita a embarcações prevista no art. 32 da Lei nº 5.025, de 10 de junho de 1966. § 4º A autoridade aduaneira poderá proceder às buscas em veículos necessárias para prevenir e reprimir a ocorrência de infração à legislação, inclusive em momento anterior à prestação das informações referidas no caput." (NR) "Art. 50. A verificação de mercadoria, no curso da conferência aduaneira ou em qualquer outra ocasião, será realizada por Auditor-Fiscal da Receita Federal, ou sob a sua supervisão, por servidor integrante da Carreira Auditoria da Receita Federal, na presença do viajante, do importador, do exportador, ou de seus representantes, podendo ser adotados critérios de seleção e amostragem, de conformidade com o estabelecido pela Secretaria da Receita Federal. § 1º Na hipótese de mercadoria depositada em recinto alfandegado, a verificação poderá ser realizada na presença do depositário ou de seus prepostos, dispensada a exigência da presença do importador ou do exportador. § 2º A verificação de bagagem ou de outra mercadoria que esteja sob a responsabilidade do transportador poderá ser realizada na presença deste ou de seus prepostos, dispensada a exigência da presença do viajante, do importador ou do exportador. § 3º Nas hipóteses dos §§ 1º e 2º, o depositário e o transportador, ou seus prepostos, representam o viajante, o importador ou o exportador, para efeitos de identificação, quantificação e descrição da mercadoria verificada." (NR) "Art. 104. ................ Parágrafo único. Aplicam-se cumulativamente: I - no caso do inciso II do caput, a pena de perdimento da mercadoria; II - no caso do inciso III do caput, a multa de R$ 200,00 (duzentos reais) por passageiro ou tripulante conduzido pelo veículo que efetuar a operação proibida, além do perdimento da mercadoria que transportar." (NR) "Art. 107. Aplicam-se ainda as seguintes multas: I - de R$ 50.000,00 (cinqüenta mil reais), por contêiner ou qualque r veículo contendo mercadoria, inclusive a granel, ingressado em local ou recinto sob controle aduaneiro, que não seja localizado; II - de R$ 15.000,00 (quinze mil reais), por contêiner ou veículo contendo mercadoria, inclusive a granel, no regime de trânsito aduaneiro, que não seja localizado; III - de R$ 10.000,00 (dez mil reais), por desacato à autoridade aduaneira; IV - de R$ 5.000,00 (cinco mil reais): a) por ponto percentual que ultrapasse a margem de 5% (cinco por cento), na diferença de peso apurada em relação ao manifesto de carga a granel apresentado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2026-10-26T03:27:50.318Z</dcterms:created>
  <dcterms:modified xsi:type="dcterms:W3CDTF">2026-10-26T03:27:50.318Z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