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</w:t>
      </w:r>
    </w:p>
    <w:p>
      <w:r>
        <w:rPr>
          <w:i/>
          <w:iCs/>
          <w:color w:val="666666"/>
        </w:rPr>
        <w:t xml:space="preserve">INSTITUTO DE RESSEGUROS DO BRASIL</w:t>
      </w:r>
    </w:p>
    <w:p/>
    <w:p/>
    <w:p>
      <w:r>
        <w:t xml:space="preserve">05. INSTITUI — IMPOSTO DE RENDA - LEGISLAÇÃO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VIII Das Disposições Finais e Transitórias Art. 62. O § 2º do art. 11 e os arts. 13 e 14 da Lei nº 8.218, de 1991, passam a vigorar com a seguinte redação: "Art. 11. .................. § 1º ......................... § 2º O Departamento da Receita Federal expedirá os atos necessários para estabelecer a forma e o prazo em que os arquivos e sistemas deverão ser apresentados. Art. 13. A não-apresentação dos arquivos ou sistemas até o trigésimo dia após o vencimento do prazo estabelecido implicará o arbitramento do lucro da pessoa jurídica, sem prejuízo da aplicação das penalidades previstas no artigo anterior. Art. 14. A tributação com base no lucro real somente será admitida para as pessoas jurídicas que mantiverem, em boa ordem e segundo as normas contábeis recomendadas, livro ou fichas utilizados para resumir e totalizar, por conta ou subconta, os lançamentos efetuados no Diário (Livro Razão), mantidas as demais exigências e condições previstas na legislação. Parágrafo único. A não-manutenção do livro de que trata este artigo, nas condições determinadas, implicará o arbitramento do lucro da pessoa jurídica." Art. 63. O tratamento tributário previsto no art. 6º do Decreto-Lei nº 2.397, de 21 de dezembro de 1987, aplica-se, também, às operações de cobertura de riscos realizadas em outros mercados de futuros, no exterior, além de bolsas, desde que admitidas pelo Conselho Monetário Nacional e desde que sejam observadas as normas e condições por ele estabelecidas. (Revogado pela Lei nº 11.033/2004) Art. 64. Responderão como co-autores de crime de falsidade o gerente e o administrador de instituição financeira ou assemelhadas que concorrerem para que seja aberta conta ou movimentados recursos sob nome: I - falso; II - de pessoa física ou de pessoa jurídica inexistente; III - de pessoa jurídica liquidada de fato ou sem representação regular. Parágra fo único. É facultado às instituições financeiras e às assemelhadas, solicitar ao Departamento da Receita Federal a confirmação do número de inscrição no Cadastro de Pessoas Físicas ou no Cadastro Geral de Contribuintes. Art. 65. Terá o tratamento de permuta a entrega, pelo licitante vencedor, de títulos da dívida pública federal ou de outros créditos contra a União, como contrapartida à aquisição das ações ou quotas leiloadas no âmbito do Programa Nacional de Desestatização. § 1º Na hipótese de adquirente pessoa física, deverá ser considerado como custo de aquisição das ações ou quotas da empresa privatizável o custo de aquisição dos direitos contra a União, corrigido monetariamente até a data da permuta. § 2º Na hipótese de pessoa jurídica não tributada com base no lucro real, o custo de aquisição será apurado na forma do parágrafo anterior. § 3º No caso de pessoa jurídica tributada com base no lucro real, o custo de aquisição das ações ou quotas leiloadas será igual ao valor contábil dos títulos ou créditos entregues pelo adquirente na data da operação: § 4º Quando se configurar, na aquisição, investimento relevante em coligada ou controlada, avaliável pelo valor do patrimônio líquido, a adquirente deverá registrar o valor da equivalência no patrimônio adquirido, em conta própria de investimentos, e o valor do ágio ou deságio na aquisição em subconta do mesmo investimento, que deverá ser computado na determinação do lucro real do mês de realização do investimento, a qualquer título. Art. 66. Nos casos de pagamento indevido ou a maior de tributos, contribuições federais, inclusive previdenciárias, e receitas patrimoniais, mesmo quando resultante de reforma, anulação, revogação ou rescisão de decisão condenatória, o contribuinte poderá efetuar a compensação desse valor no recolhimento de importância correspondente a período subseqüente. (Redação dada pela Lei nº 9.069/95) § 1º A compensação só poderá ser efetuada entre tributos, contribuições e receitas da mesma espécie. (Redação dada pela Lei nº 9.069/95) § 2º É facultado ao contribuinte optar pelo pedido de restituição. (Redação dada pela Lei nº 9.069/95) § 3º A compensação ou restituição será efetuada pelo valor do tributo ou contribuição ou receita corrigido monetariamente com base na variação da UFIR. (Redação dada pela Lei nº 9.069/95) § 4º As Secretarias da Receita Federal e do Patrimônio da União e o Instituto Nacional do Seguro Social - INSS expedirão as instruções necessárias ao cumprimento do disposto neste artigo. (Redação dada pela Lei nº 9.069/95) Art. 67. A competência de que trata o art. 1º da Lei nº 8.0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2026-06-17T15:20:05.105Z</dcterms:created>
  <dcterms:modified xsi:type="dcterms:W3CDTF">2026-06-17T15:20:05.105Z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