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</w:t>
      </w:r>
    </w:p>
    <w:p>
      <w:r>
        <w:rPr>
          <w:i/>
          <w:iCs/>
          <w:color w:val="666666"/>
        </w:rPr>
        <w:t xml:space="preserve">INSTITUTO DE RESSEGUROS DO BRASIL</w:t>
      </w:r>
    </w:p>
    <w:p/>
    <w:p/>
    <w:p>
      <w:r>
        <w:t xml:space="preserve">05. INSTITUI — IMPOSTO DE RENDA - LEGISLAÇÃO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VIII Das Disposições Finais e Transitórias Art. 62. O § 2º do art. 11 e os arts. 13 e 14 da Lei nº 8.218, de 1991, passam a vigorar com a seguinte redação: "Art. 11. .................. § 1º ......................... § 2º O Departamento da Receita Federal expedirá os atos necessários para estabelecer a forma e o prazo em que os arquivos e sistemas deverão ser apresentados. Art. 13. A não-apresentação dos arquivos ou sistemas até o trigésimo dia após o vencimento do prazo estabelecido implicará o arbitramento do lucro da pessoa jurídica, sem prejuízo da aplicação das penalidades previstas no artigo anterior. Art. 14. A tributação com base no lucro real somente será admitida para as pessoas jurídicas que mantiverem, em boa ordem e segundo as normas contábeis recomendadas, livro ou fichas utilizados para resumir e totalizar, por conta ou subconta, os lançamentos efetuados no Diário (Livro Razão), mantidas as demais exigências e condições previstas na legislação. Parágrafo único. A não-manutenção do livro de que trata este artigo, nas condições determinadas, implicará o arbitramento do lucro da pessoa jurídica." Art. 63. O tratamento tributário previsto no art. 6º do Decreto-Lei nº 2.397, de 21 de dezembro de 1987, aplica-se, também, às operações de cobertura de riscos realizadas em outros mercados de futuros, no exterior, além de bolsas, desde que admitidas pelo Conselho Monetário Nacional e desde que sejam observadas as normas e condições por ele estabelecidas. (Revogado pela Lei nº 11.033/2004) Art. 64. Responderão como co-autores de crime de falsidade o gerente e o administrador de instituição financeira ou assemelhadas que concorrerem para que seja aberta conta ou movimentados recursos sob nome: I - falso; II - de pessoa física ou de pessoa jurídica inexistente; III - de pessoa jurídica liquidada de fato ou sem representação regular. Parágra fo único. É facultado às instituições financeiras e às assemelhadas, solicitar ao Departamento da Receita Federal a confirmação do número de inscrição no Cadastro de Pessoas Físicas ou no Cadastro Geral de Contribuintes. Art. 65. Terá o tratamento de permuta a entrega, pelo licitante vencedor, de títulos da dívida pública federal ou de outros créditos contra a União, como contrapartida à aquisição das ações ou quotas leiloadas no âmbito do Programa Nacional de Desestatização. § 1º Na hipótese de adquirente pessoa física, deverá ser considerado como custo de aquisição das ações ou quotas da empresa privatizável o custo de aquisição dos direitos contra a União, corrigido monetariamente até a data da permuta. § 2º Na hipótese de pessoa jurídica não tributada com base no lucro real, o custo de aquisição será apurado na forma do parágrafo anterior. § 3º No caso de pessoa jurídica tributada com base no lucro real, o custo de aquisição das ações ou quotas leiloadas será igual ao valor contábil dos títulos ou créditos entregues pelo adquirente na data da operação: § 4º Quando se configurar, na aquisição, investimento relevante em coligada ou controlada, avaliável pelo valor do patrimônio líquido, a adquirente deverá registrar o valor da equivalência no patrimônio adquirido, em conta própria de investimentos, e o valor do ágio ou deságio na aquisição em subconta do mesmo investimento, que deverá ser computado na determinação do lucro real do mês de realização do investimento, a qualquer título. Art. 66. Nos casos de pagamento indevido ou a maior de tributos, contribuições federais, inclusive previdenciárias, e receitas patrimoniais, mesmo quando resultante de reforma, anulação, revogação ou rescisão de decisão condenatória, o contribuinte poderá efetuar a compensação desse valor no recolhimento de importância correspondente a período subseqüente. (Redação dada pela Lei nº 9.069/95) § 1º A compensação só poderá ser efetuada entre tributos, contribuições e receitas da mesma espécie. (Redação dada pela Lei nº 9.069/95) § 2º É facultado ao contribuinte optar pelo pedido de restituição. (Redação dada pela Lei nº 9.069/95) § 3º A compensação ou restituição será efetuada pelo valor do tributo ou contribuição ou receita corrigido monetariamente com base na variação da UFIR. (Redação dada pela Lei nº 9.069/95) § 4º As Secretarias da Receita Federal e do Patrimônio da União e o Instituto Nacional do Seguro Social - INSS expedirão as instruções necessárias ao cumprimento do disposto neste artigo. (Redação dada pela Lei nº 9.069/95) Art. 67. A competência de que trata o art. 1º da Lei nº 8.0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2026-10-26T03:40:20.544Z</dcterms:created>
  <dcterms:modified xsi:type="dcterms:W3CDTF">2026-10-26T03:40:20.544Z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