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LEI 8.541 DE 23-12-1992</w:t>
      </w:r>
    </w:p>
    <w:p/>
    <w:p/>
    <w:p>
      <w:r>
        <w:t xml:space="preserve">06. INSTITUI — IMPOSTO DE RENDA - LEGISLAÇÃO ALTERA</w:t>
      </w:r>
    </w:p>
    <w:p/>
    <w:p>
      <w:pPr>
        <w:pStyle w:val="Heading2"/>
      </w:pPr>
      <w:r>
        <w:rPr>
          <w:b/>
          <w:bCs/>
        </w:rPr>
        <w:t xml:space="preserve">Ementa</w:t>
      </w:r>
    </w:p>
    <w:p>
      <w:r>
        <w:t xml:space="preserve">Art. 88. O disposto no art. 39 aplica-se, no que couber, ao pagamento do imposto calculado por estimativa prevista nos arts. 85 e 86.(Revogado pela Lei nº 8.541/92) Art. 89. As empresas que optarem pela tributação com base no lucro presumido deverão pagar o imposto de renda da pessoa jurídica e a contribuição social sobre o lucro (Lei nº 7.689, de 1988): I - relativos ao período-base de 1991, nos prazos fixados na legislação em vigor, sem as modificações introduzidas por esta lei; II - a partir do ano-calendário de 1992, segundo o disposto no art. 40. Art. 90. A pessoa jurídica que, no ano-calendário de 1991, tiver auferido receita bruta total igual ou inferior a um bilhão de cruzeiros poderá optar pela tributação com base no lucro presumido no ano-calendário de 1992. Art. 91. As parcelas de antecipação do imposto de renda e da contribuição social sobre o lucro, relativas ao exercício financeiro de 1992, pagas no ano de 1991, serão corrigidas monetariamente com base na variação acumulada no INPC desde o mês do pagamento até dezembro de 1991. Parágrafo único. A contrapartida do registro da correção monetária referida neste artigo será escriturada como variação monetária ativa, na data do balanço. Art. 92. Fica reduzida para zero a alíquota do imposto de renda na fonte sobre valores remetidos a beneficiários residentes ou domiciliados no exterior, destinados ao pagamento de comissões e despesas, desde que aprovadas pelo Banco Central do Brasil e pela Comissão de Valores Mobiliários, incorridas nas operações de colocação, no exterior, de ações de companhias abertas domiciliadas no Brasil. (Revogado pela Lei nº 9.430/96) Art. 93. O art. 1º e o art. 2º do Decreto-Lei nº 1.804, de 3 de setembro de 1980, passam a vigorar com as seguintes modificações: "Art. 1º .................... § 3º O regime de que trata este artigo somente se aplica a remessas de valor até quinhentos dólares nor te-americanos, ou o equivalente em outras moedas. ................................. Art. 2º .................... II - dispor sobre a isenção do imposto de importação dos bens contidos em remessas de valor até cem dólares norte-americanos, ou o equivalente em outras moedas, quando destinados a pessoas físicas. ..............................." Art. 94. O Ministro da Economia, Fazenda e Planejamento expedirá os atos necessários à execução do disposto nesta lei, observados os princípios e as diretrizes nela estabelecidos, objetivando, especialmente, a simplificação e a desburocratização dos procedimentos . Parágrafo único. Para efeito do disposto neste artigo, o Ministro da Economia, Fazenda e Planejamento fica autorizado, inclusive a permitir a substituição da consolidação dos resultados mensais da pessoa jurídica pelo cálculo do imposto mediante levantamento direto do balanço trimestral, semestral ou anual.(Revogado pela Lei nº 8.541/92) Art. 95. O Ministro da Economia, Fazenda e Planejamento poderá, em 1992 e 1993, alongar o prazo de pagamento dos impostos e da contribuição social sobre o lucro, se a conjuntura econômica assim o exigir. Art. 96. No exercício financeiro de 1992, ano-calendário de 1991, o contribuinte apresentará declaração de bens na qual os bens e direitos serão individualmente avaliados a valor de mercado no dia 31 de dezembro de 1991, e convertidos em quantidade de Ufir pelo valor desta no mês de janeiro de 1992. § 1º A diferença entre o valor de mercado referido neste artigo e o constante de declarações de exercícios anteriores será considerada rendimento isento. § 2º A apresentação da declaração de bens com estes avaliados em valores de mercado não exime os declarantes de manter e apresentar elementos que permitam a identificação de seus custos de aquisição. § 3º A autoridade lançadora, mediante processo regular, arbitrará o valor informado, sempre que este não mereça fé, por notoriamente diferente do de mercado, ressalvada, em caso de contestação, avaliação contraditória administrativa ou judicial. § 4º Todos e quaisquer bens e direitos adquiridos, a partir de 1º de janeiro de 1992, serão informados, nas declarações de bens de exercícios posteriores, pelos respectivos valores em Ufir, convertidos com base no valor desta no mês de aquisição. § 5º Na apuração de ganhos de capital na alienação dos bens e direitos de que trata este artigo será considerado custo de aquisição o valor em Ufir: a) constante da declaração relativa ao exercício financeiro de 1992, relativamente aos bens e direitos adquiridos até 31 de dezembro de 1991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2026-07-28T02:43:07.337Z</dcterms:created>
  <dcterms:modified xsi:type="dcterms:W3CDTF">2026-07-28T02:43:07.337Z</dcterms:modified>
</cp:coreProperties>
</file>

<file path=docProps/custom.xml><?xml version="1.0" encoding="utf-8"?>
<Properties xmlns="http://schemas.openxmlformats.org/officeDocument/2006/custom-properties" xmlns:vt="http://schemas.openxmlformats.org/officeDocument/2006/docPropsVTypes"/>
</file>