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LEI 8.894 DE 21-06-1994</w:t>
      </w:r>
    </w:p>
    <w:p/>
    <w:p/>
    <w:p>
      <w:r>
        <w:t xml:space="preserve">IMPOSTO SOBRE OPERAÇÕES DE CRÉDITO, CÂMBIO E SEGURO OU TÍTULOS E VALORES MOBILIÁRIOS</w:t>
      </w:r>
    </w:p>
    <w:p/>
    <w:p>
      <w:pPr>
        <w:pStyle w:val="Heading2"/>
      </w:pPr>
      <w:r>
        <w:rPr>
          <w:b/>
          <w:bCs/>
        </w:rPr>
        <w:t xml:space="preserve">Ementa</w:t>
      </w:r>
    </w:p>
    <w:p>
      <w:r>
        <w:t xml:space="preserve">LEI Nº 8.894, DE 21 DE JUNHO DE 1994 Dispõe sobre o Imposto sobre Operações de Crédito, Câmbio e Seguro, ou relativas a Títulos e Valores Mobiliários, e dá outras providências. Faço saber que o PRESIDENTE DA REPÚBLICA adotou a Medida Provisória nº 513, de 1994, que o Congresso Nacional aprovou, e eu, HUMBERTO LUCENA, Presidente do Senado Federal, para os efeitos do disposto no parágrafo único do art. 62 da Constituição Federal, promulgo a seguinte lei: Art. 1º O Imposto sobre Operações de Crédito, Câmbio e Seguro, ou relativas a Títulos e Valores Mobiliários será cobrado à alíquota máxima de 1,5% ao dia, sobre o valor das operações de crédito e relativos a títulos e valores mobiliários. Parágrafo único. O Poder Executivo, obedecidos os limites máximos fixados neste artigo, poderá alterar as alíquotas do imposto tendo em vista os objetivos das políticas monetária e fiscal. Art. 2º Considera-se valor da operação: I - nas operações de crédito: (Redação dada pela Medida Provisória nº 449/2008) a) o valor total das contraprestações registrado pela pessoa jurídica arrendadora, na data da contratação, acrescido do valor residual garantido; (Incluído pela Medida Provisória nº 449/2008) b) o valor do principal que constitua o objeto da obrigação, ou sua colocação à disposição do interessado, nas demais operações; (Incluído pela Medida Provisória nº 449/2008) II - nas operações relativas a títulos e valores mobiliários: a) valor de aquisição, resgate, cessão ou repactuação; b) o valor do pagamento para a liquidação das operações referidas na alínea anterior, quando inferior a noventa e cinco por cento do valor inicial da operação, expressos, respectivamente, em quantidade de Unidade Fiscal de Referência (Ufir) diária. § 1º Serão acrescidos ao valor do resgate ou cessão de títulos e valores mobiliários os rendimentos periódicos recebidos pelo aplicador ou cedente durante o período da operação, atualizados pela variação acumulada da Ufir diária no período. § 2º O disposto no inciso II, alínea a, aplica-se, inclusive, às operações de financiamento realizadas em bolsas de valores, de mercadorias, de futuros e assemelhadas. Art. 3º São contribuintes do imposto: I - os tomadores de crédito, na hipótese prevista no art. 2º, inciso I; II - os adquirentes de títulos e valores mobiliários e os titulares de aplicações financeiras, na hipótese prevista no art. 2º, inciso II, alínea a; III - as instituições financeiras e demais instituições autorizadas a funcionar pelo Banco Central do Brasil, na hipótese prevista no art. 2º, inciso II, alínea b. Art. 4º O imposto de que trata o art. 2º, inciso II, alínea a será excluído da base de cálculo do imposto de renda incidente sobre o rendimento de operações com títulos e valores mobiliários, excetuadas as aplicações a que se refere o § 4º do art. 21 da Lei nº 8.383, de 30 de dezembro de 1991. Art. 5º O Imposto sobre Operações de Crédito, Câmbio e Seguro, ou relativas a Títulos e Valores Mobiliários (IOF), incidente sobre operações de câmbio será cobrado à alíquota de vinte e cinco por cento sobre o valor de liquidação da operação cambial. Parágrafo único. O Poder Executivo poderá reduzir e restabelecer a alíquota fixada neste artigo, tendo em vista os objetivos das políticas monetária, cambial e fiscal. Art. 6º São contribuintes do IOF incidente sobre operações de câmbio os compradores ou vendedores da moeda estrangeira na operação referente a transferência financeira para ou do exterior, respectivamente. Parágrafo único. As instituições autorizadas a operar em câmbio são responsáveis pela retenção e recolhimento do imposto. Art. 7º Poder Executivo regulamentará o disposto nesta lei. Art. 8º Ficam convalidados os atos praticados com base na Medida Provisória nº 487, de 29 de abril de 1994. Art. 9º Esta lei entra em vigor na data de sua publicação. Art. 10. Ficam revogados o art. 18 da Lei nº 8.088, de 31 de outubro de 1990, e, em relação ao imposto de que trata esta lei, as isenções previstas no art. 14 da Lei nº 8.313, de 23 de dezembro de 1991, no § 2º do art. 21 da Lei nº 8.383, de 1991, e no art. 16 da Lei nº 8.668, de 25 de junho de 1993. Senado Federal, 21 de junho de 1994; 173º da Independência e 106º da República. SENADOR HUMBERTO LUCENA Presidente do Senado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2026-07-28T00:46:37.989Z</dcterms:created>
  <dcterms:modified xsi:type="dcterms:W3CDTF">2026-07-28T00:46:37.989Z</dcterms:modified>
</cp:coreProperties>
</file>

<file path=docProps/custom.xml><?xml version="1.0" encoding="utf-8"?>
<Properties xmlns="http://schemas.openxmlformats.org/officeDocument/2006/custom-properties" xmlns:vt="http://schemas.openxmlformats.org/officeDocument/2006/docPropsVTypes"/>
</file>